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3E1EF" w14:textId="77777777" w:rsidR="008F1855" w:rsidRPr="00F76BDB" w:rsidRDefault="008F1855" w:rsidP="008F1855">
      <w:pPr>
        <w:tabs>
          <w:tab w:val="left" w:pos="567"/>
        </w:tabs>
        <w:spacing w:line="276" w:lineRule="auto"/>
        <w:rPr>
          <w:rFonts w:ascii="Bookman Old Style" w:hAnsi="Bookman Old Style" w:cs="Times New Roman"/>
          <w:sz w:val="28"/>
          <w:szCs w:val="28"/>
        </w:rPr>
      </w:pPr>
      <w:bookmarkStart w:id="0" w:name="_GoBack"/>
      <w:bookmarkEnd w:id="0"/>
      <w:r w:rsidRPr="00F76BDB">
        <w:rPr>
          <w:rFonts w:ascii="Bookman Old Style" w:hAnsi="Bookman Old Style" w:cs="Times New Roman"/>
          <w:sz w:val="28"/>
          <w:szCs w:val="28"/>
        </w:rPr>
        <w:t>ΑΝΩΤΑΤΟ ΔΙΚΑΣΤΗΡΙΟ ΚΥΠΡΟΥ</w:t>
      </w:r>
    </w:p>
    <w:p w14:paraId="5E7F32C3" w14:textId="77777777" w:rsidR="008F1855" w:rsidRPr="00F76BDB" w:rsidRDefault="008F1855" w:rsidP="008F1855">
      <w:pPr>
        <w:spacing w:line="276" w:lineRule="auto"/>
        <w:rPr>
          <w:rFonts w:ascii="Bookman Old Style" w:hAnsi="Bookman Old Style" w:cs="Times New Roman"/>
          <w:sz w:val="28"/>
          <w:szCs w:val="28"/>
        </w:rPr>
      </w:pPr>
      <w:r w:rsidRPr="00F76BDB">
        <w:rPr>
          <w:rFonts w:ascii="Bookman Old Style" w:hAnsi="Bookman Old Style" w:cs="Times New Roman"/>
          <w:sz w:val="28"/>
          <w:szCs w:val="28"/>
        </w:rPr>
        <w:t>ΔΕΥΤΕΡΟΒΑΘΜΙΑ ΔΙΚΑΙΟΔΟΣΙΑ</w:t>
      </w:r>
    </w:p>
    <w:p w14:paraId="40EFCFAA" w14:textId="77777777" w:rsidR="00F76BDB" w:rsidRDefault="008F1855" w:rsidP="008F1855">
      <w:pPr>
        <w:spacing w:line="276" w:lineRule="auto"/>
        <w:jc w:val="right"/>
        <w:rPr>
          <w:rFonts w:ascii="Bookman Old Style" w:hAnsi="Bookman Old Style" w:cs="Times New Roman"/>
          <w:sz w:val="28"/>
          <w:szCs w:val="28"/>
        </w:rPr>
      </w:pPr>
      <w:r w:rsidRPr="00F76BDB">
        <w:rPr>
          <w:rFonts w:ascii="Bookman Old Style" w:hAnsi="Bookman Old Style" w:cs="Times New Roman"/>
          <w:sz w:val="28"/>
          <w:szCs w:val="28"/>
        </w:rPr>
        <w:tab/>
      </w:r>
      <w:r w:rsidRPr="00F76BDB">
        <w:rPr>
          <w:rFonts w:ascii="Bookman Old Style" w:hAnsi="Bookman Old Style" w:cs="Times New Roman"/>
          <w:sz w:val="28"/>
          <w:szCs w:val="28"/>
        </w:rPr>
        <w:tab/>
      </w:r>
      <w:r w:rsidRPr="00F76BDB">
        <w:rPr>
          <w:rFonts w:ascii="Bookman Old Style" w:hAnsi="Bookman Old Style" w:cs="Times New Roman"/>
          <w:sz w:val="28"/>
          <w:szCs w:val="28"/>
        </w:rPr>
        <w:tab/>
      </w:r>
      <w:r w:rsidRPr="00F76BDB">
        <w:rPr>
          <w:rFonts w:ascii="Bookman Old Style" w:hAnsi="Bookman Old Style" w:cs="Times New Roman"/>
          <w:sz w:val="28"/>
          <w:szCs w:val="28"/>
        </w:rPr>
        <w:tab/>
      </w:r>
      <w:r w:rsidRPr="00F76BDB">
        <w:rPr>
          <w:rFonts w:ascii="Bookman Old Style" w:hAnsi="Bookman Old Style" w:cs="Times New Roman"/>
          <w:sz w:val="28"/>
          <w:szCs w:val="28"/>
        </w:rPr>
        <w:tab/>
      </w:r>
      <w:r w:rsidRPr="00F76BDB">
        <w:rPr>
          <w:rFonts w:ascii="Bookman Old Style" w:hAnsi="Bookman Old Style" w:cs="Times New Roman"/>
          <w:sz w:val="28"/>
          <w:szCs w:val="28"/>
        </w:rPr>
        <w:tab/>
      </w:r>
    </w:p>
    <w:p w14:paraId="50CB51BC" w14:textId="35E22D47" w:rsidR="008F1855" w:rsidRPr="00F76BDB" w:rsidRDefault="008F1855" w:rsidP="008F1855">
      <w:pPr>
        <w:spacing w:line="276" w:lineRule="auto"/>
        <w:jc w:val="right"/>
        <w:rPr>
          <w:rFonts w:ascii="Bookman Old Style" w:hAnsi="Bookman Old Style" w:cs="Times New Roman"/>
          <w:i/>
          <w:sz w:val="28"/>
          <w:szCs w:val="28"/>
        </w:rPr>
      </w:pPr>
      <w:r w:rsidRPr="00F76BDB">
        <w:rPr>
          <w:rFonts w:ascii="Bookman Old Style" w:hAnsi="Bookman Old Style" w:cs="Times New Roman"/>
          <w:sz w:val="28"/>
          <w:szCs w:val="28"/>
        </w:rPr>
        <w:t>(</w:t>
      </w:r>
      <w:r w:rsidRPr="00F76BDB">
        <w:rPr>
          <w:rFonts w:ascii="Bookman Old Style" w:hAnsi="Bookman Old Style" w:cs="Times New Roman"/>
          <w:i/>
          <w:sz w:val="28"/>
          <w:szCs w:val="28"/>
        </w:rPr>
        <w:t xml:space="preserve">Πολιτική Έφεση </w:t>
      </w:r>
      <w:proofErr w:type="spellStart"/>
      <w:r w:rsidRPr="00F76BDB">
        <w:rPr>
          <w:rFonts w:ascii="Bookman Old Style" w:hAnsi="Bookman Old Style" w:cs="Times New Roman"/>
          <w:i/>
          <w:sz w:val="28"/>
          <w:szCs w:val="28"/>
        </w:rPr>
        <w:t>Αρ</w:t>
      </w:r>
      <w:proofErr w:type="spellEnd"/>
      <w:r w:rsidRPr="00F76BDB">
        <w:rPr>
          <w:rFonts w:ascii="Bookman Old Style" w:hAnsi="Bookman Old Style" w:cs="Times New Roman"/>
          <w:i/>
          <w:sz w:val="28"/>
          <w:szCs w:val="28"/>
        </w:rPr>
        <w:t>. 8/2015</w:t>
      </w:r>
      <w:r w:rsidRPr="00F76BDB">
        <w:rPr>
          <w:rFonts w:ascii="Bookman Old Style" w:hAnsi="Bookman Old Style" w:cs="Times New Roman"/>
          <w:iCs/>
          <w:sz w:val="28"/>
          <w:szCs w:val="28"/>
        </w:rPr>
        <w:t>)</w:t>
      </w:r>
    </w:p>
    <w:p w14:paraId="230B7802" w14:textId="77777777" w:rsidR="008F1855" w:rsidRPr="00F76BDB" w:rsidRDefault="008F1855" w:rsidP="008F1855">
      <w:pPr>
        <w:spacing w:line="276" w:lineRule="auto"/>
        <w:rPr>
          <w:rFonts w:ascii="Bookman Old Style" w:hAnsi="Bookman Old Style" w:cs="Times New Roman"/>
          <w:sz w:val="28"/>
          <w:szCs w:val="28"/>
          <w:u w:val="single"/>
        </w:rPr>
      </w:pPr>
    </w:p>
    <w:p w14:paraId="2F3F9920" w14:textId="77777777" w:rsidR="00F76BDB" w:rsidRDefault="00F76BDB" w:rsidP="008F1855">
      <w:pPr>
        <w:jc w:val="center"/>
        <w:rPr>
          <w:rFonts w:ascii="Bookman Old Style" w:hAnsi="Bookman Old Style" w:cs="Times New Roman"/>
          <w:sz w:val="28"/>
          <w:szCs w:val="28"/>
        </w:rPr>
      </w:pPr>
    </w:p>
    <w:p w14:paraId="0A07AEFC" w14:textId="26B3EE8F" w:rsidR="008F1855" w:rsidRPr="00F76BDB" w:rsidRDefault="00234C35" w:rsidP="008F1855">
      <w:pPr>
        <w:jc w:val="center"/>
        <w:rPr>
          <w:rFonts w:ascii="Bookman Old Style" w:hAnsi="Bookman Old Style" w:cs="Times New Roman"/>
          <w:sz w:val="28"/>
          <w:szCs w:val="28"/>
        </w:rPr>
      </w:pPr>
      <w:r w:rsidRPr="00F56834">
        <w:rPr>
          <w:rFonts w:ascii="Bookman Old Style" w:hAnsi="Bookman Old Style" w:cs="Times New Roman"/>
          <w:sz w:val="28"/>
          <w:szCs w:val="28"/>
        </w:rPr>
        <w:t xml:space="preserve">25 </w:t>
      </w:r>
      <w:r w:rsidR="008F1855" w:rsidRPr="00F76BDB">
        <w:rPr>
          <w:rFonts w:ascii="Bookman Old Style" w:hAnsi="Bookman Old Style" w:cs="Times New Roman"/>
          <w:sz w:val="28"/>
          <w:szCs w:val="28"/>
        </w:rPr>
        <w:t>Ιουλίου, 2023</w:t>
      </w:r>
    </w:p>
    <w:p w14:paraId="63D0AD3F" w14:textId="77777777" w:rsidR="008F1855" w:rsidRPr="00F76BDB" w:rsidRDefault="008F1855" w:rsidP="008F1855">
      <w:pPr>
        <w:rPr>
          <w:rFonts w:ascii="Bookman Old Style" w:hAnsi="Bookman Old Style" w:cs="Times New Roman"/>
          <w:sz w:val="28"/>
          <w:szCs w:val="28"/>
        </w:rPr>
      </w:pPr>
    </w:p>
    <w:p w14:paraId="57933076" w14:textId="77777777" w:rsidR="008F1855" w:rsidRPr="00F76BDB" w:rsidRDefault="008F1855" w:rsidP="008F1855">
      <w:pPr>
        <w:jc w:val="center"/>
        <w:rPr>
          <w:rFonts w:ascii="Bookman Old Style" w:hAnsi="Bookman Old Style" w:cs="Times New Roman"/>
          <w:sz w:val="28"/>
          <w:szCs w:val="28"/>
        </w:rPr>
      </w:pPr>
    </w:p>
    <w:p w14:paraId="44B71242" w14:textId="13C4BE24" w:rsidR="008F1855" w:rsidRPr="00F76BDB" w:rsidRDefault="008F1855" w:rsidP="008F1855">
      <w:pPr>
        <w:jc w:val="center"/>
        <w:rPr>
          <w:rFonts w:ascii="Bookman Old Style" w:hAnsi="Bookman Old Style" w:cs="Times New Roman"/>
          <w:sz w:val="28"/>
          <w:szCs w:val="28"/>
        </w:rPr>
      </w:pPr>
      <w:r w:rsidRPr="00F76BDB">
        <w:rPr>
          <w:rFonts w:ascii="Bookman Old Style" w:hAnsi="Bookman Old Style" w:cs="Times New Roman"/>
          <w:sz w:val="28"/>
          <w:szCs w:val="28"/>
        </w:rPr>
        <w:t>[ΜΑΛΑΧΤΟΣ, ΙΩΑΝΝΙΔΗΣ, ΕΦΡΑΙΜ, Δ/</w:t>
      </w:r>
      <w:proofErr w:type="spellStart"/>
      <w:r w:rsidRPr="00F76BDB">
        <w:rPr>
          <w:rFonts w:ascii="Bookman Old Style" w:hAnsi="Bookman Old Style" w:cs="Times New Roman"/>
          <w:sz w:val="28"/>
          <w:szCs w:val="28"/>
        </w:rPr>
        <w:t>στές</w:t>
      </w:r>
      <w:proofErr w:type="spellEnd"/>
      <w:r w:rsidRPr="00F76BDB">
        <w:rPr>
          <w:rFonts w:ascii="Bookman Old Style" w:hAnsi="Bookman Old Style" w:cs="Times New Roman"/>
          <w:sz w:val="28"/>
          <w:szCs w:val="28"/>
        </w:rPr>
        <w:t>]</w:t>
      </w:r>
    </w:p>
    <w:p w14:paraId="3E443D53" w14:textId="77777777" w:rsidR="008F1855" w:rsidRDefault="008F1855" w:rsidP="008F1855">
      <w:pPr>
        <w:rPr>
          <w:rFonts w:ascii="Bookman Old Style" w:hAnsi="Bookman Old Style" w:cs="Times New Roman"/>
          <w:sz w:val="28"/>
          <w:szCs w:val="28"/>
        </w:rPr>
      </w:pPr>
    </w:p>
    <w:p w14:paraId="20E3343D" w14:textId="77777777" w:rsidR="00F76BDB" w:rsidRPr="00F76BDB" w:rsidRDefault="00F76BDB" w:rsidP="008F1855">
      <w:pPr>
        <w:rPr>
          <w:rFonts w:ascii="Bookman Old Style" w:hAnsi="Bookman Old Style" w:cs="Times New Roman"/>
          <w:sz w:val="28"/>
          <w:szCs w:val="28"/>
        </w:rPr>
      </w:pPr>
    </w:p>
    <w:p w14:paraId="5AF180B4" w14:textId="77777777" w:rsidR="008F1855" w:rsidRPr="00F76BDB" w:rsidRDefault="008F1855" w:rsidP="008F1855">
      <w:pPr>
        <w:rPr>
          <w:rFonts w:ascii="Bookman Old Style" w:hAnsi="Bookman Old Style" w:cs="Times New Roman"/>
          <w:sz w:val="28"/>
          <w:szCs w:val="28"/>
        </w:rPr>
      </w:pPr>
    </w:p>
    <w:p w14:paraId="2802D812" w14:textId="77777777" w:rsidR="008F1855" w:rsidRPr="00F56834" w:rsidRDefault="008F1855" w:rsidP="008F1855">
      <w:pPr>
        <w:tabs>
          <w:tab w:val="left" w:pos="3544"/>
        </w:tabs>
        <w:jc w:val="center"/>
        <w:rPr>
          <w:rFonts w:ascii="Bookman Old Style" w:hAnsi="Bookman Old Style" w:cs="Times New Roman"/>
          <w:sz w:val="28"/>
          <w:szCs w:val="28"/>
          <w:lang w:val="en-US"/>
        </w:rPr>
      </w:pPr>
      <w:r w:rsidRPr="00F76BDB">
        <w:rPr>
          <w:rFonts w:ascii="Bookman Old Style" w:hAnsi="Bookman Old Style" w:cs="Times New Roman"/>
          <w:sz w:val="28"/>
          <w:szCs w:val="28"/>
          <w:lang w:val="en-US"/>
        </w:rPr>
        <w:t>MICHALAKIS</w:t>
      </w:r>
      <w:r w:rsidRPr="00F56834">
        <w:rPr>
          <w:rFonts w:ascii="Bookman Old Style" w:hAnsi="Bookman Old Style" w:cs="Times New Roman"/>
          <w:sz w:val="28"/>
          <w:szCs w:val="28"/>
          <w:lang w:val="en-US"/>
        </w:rPr>
        <w:t xml:space="preserve"> </w:t>
      </w:r>
      <w:r w:rsidRPr="00F76BDB">
        <w:rPr>
          <w:rFonts w:ascii="Bookman Old Style" w:hAnsi="Bookman Old Style" w:cs="Times New Roman"/>
          <w:sz w:val="28"/>
          <w:szCs w:val="28"/>
          <w:lang w:val="en-US"/>
        </w:rPr>
        <w:t>AVRAAMIDES</w:t>
      </w:r>
      <w:r w:rsidRPr="00F56834">
        <w:rPr>
          <w:rFonts w:ascii="Bookman Old Style" w:hAnsi="Bookman Old Style" w:cs="Times New Roman"/>
          <w:sz w:val="28"/>
          <w:szCs w:val="28"/>
          <w:lang w:val="en-US"/>
        </w:rPr>
        <w:t xml:space="preserve"> </w:t>
      </w:r>
      <w:r w:rsidRPr="00F76BDB">
        <w:rPr>
          <w:rFonts w:ascii="Bookman Old Style" w:hAnsi="Bookman Old Style" w:cs="Times New Roman"/>
          <w:sz w:val="28"/>
          <w:szCs w:val="28"/>
          <w:lang w:val="en-US"/>
        </w:rPr>
        <w:t>ESTATES</w:t>
      </w:r>
      <w:r w:rsidRPr="00F56834">
        <w:rPr>
          <w:rFonts w:ascii="Bookman Old Style" w:hAnsi="Bookman Old Style" w:cs="Times New Roman"/>
          <w:sz w:val="28"/>
          <w:szCs w:val="28"/>
          <w:lang w:val="en-US"/>
        </w:rPr>
        <w:t xml:space="preserve"> </w:t>
      </w:r>
      <w:r w:rsidRPr="00F76BDB">
        <w:rPr>
          <w:rFonts w:ascii="Bookman Old Style" w:hAnsi="Bookman Old Style" w:cs="Times New Roman"/>
          <w:sz w:val="28"/>
          <w:szCs w:val="28"/>
          <w:lang w:val="en-US"/>
        </w:rPr>
        <w:t>LIMITED</w:t>
      </w:r>
    </w:p>
    <w:p w14:paraId="49A23FAB" w14:textId="75707505" w:rsidR="008F1855" w:rsidRPr="00F56834" w:rsidRDefault="008F1855" w:rsidP="008F1855">
      <w:pPr>
        <w:tabs>
          <w:tab w:val="left" w:pos="1985"/>
          <w:tab w:val="left" w:pos="5670"/>
        </w:tabs>
        <w:ind w:left="2694" w:hanging="426"/>
        <w:rPr>
          <w:rFonts w:ascii="Bookman Old Style" w:hAnsi="Bookman Old Style" w:cs="Times New Roman"/>
          <w:i/>
          <w:sz w:val="28"/>
          <w:szCs w:val="28"/>
          <w:lang w:val="en-US"/>
        </w:rPr>
      </w:pP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r w:rsidRPr="00F56834">
        <w:rPr>
          <w:rFonts w:ascii="Bookman Old Style" w:hAnsi="Bookman Old Style" w:cs="Times New Roman"/>
          <w:i/>
          <w:sz w:val="28"/>
          <w:szCs w:val="28"/>
          <w:lang w:val="en-US"/>
        </w:rPr>
        <w:tab/>
      </w:r>
      <w:proofErr w:type="spellStart"/>
      <w:r w:rsidRPr="00F76BDB">
        <w:rPr>
          <w:rFonts w:ascii="Bookman Old Style" w:hAnsi="Bookman Old Style" w:cs="Times New Roman"/>
          <w:i/>
          <w:sz w:val="28"/>
          <w:szCs w:val="28"/>
        </w:rPr>
        <w:t>Εφεσεί</w:t>
      </w:r>
      <w:r w:rsidR="004A4D4A">
        <w:rPr>
          <w:rFonts w:ascii="Bookman Old Style" w:hAnsi="Bookman Old Style" w:cs="Times New Roman"/>
          <w:i/>
          <w:sz w:val="28"/>
          <w:szCs w:val="28"/>
        </w:rPr>
        <w:t>ουσα</w:t>
      </w:r>
      <w:proofErr w:type="spellEnd"/>
      <w:r w:rsidRPr="00F56834">
        <w:rPr>
          <w:rFonts w:ascii="Bookman Old Style" w:hAnsi="Bookman Old Style" w:cs="Times New Roman"/>
          <w:i/>
          <w:sz w:val="28"/>
          <w:szCs w:val="28"/>
          <w:lang w:val="en-US"/>
        </w:rPr>
        <w:t>,</w:t>
      </w:r>
    </w:p>
    <w:p w14:paraId="70715697" w14:textId="77777777" w:rsidR="008F1855" w:rsidRPr="00F76BDB" w:rsidRDefault="008F1855" w:rsidP="008F1855">
      <w:pPr>
        <w:jc w:val="center"/>
        <w:rPr>
          <w:rFonts w:ascii="Bookman Old Style" w:hAnsi="Bookman Old Style" w:cs="Times New Roman"/>
          <w:iCs/>
          <w:sz w:val="28"/>
          <w:szCs w:val="28"/>
        </w:rPr>
      </w:pPr>
      <w:r w:rsidRPr="00F76BDB">
        <w:rPr>
          <w:rFonts w:ascii="Bookman Old Style" w:hAnsi="Bookman Old Style" w:cs="Times New Roman"/>
          <w:iCs/>
          <w:sz w:val="28"/>
          <w:szCs w:val="28"/>
        </w:rPr>
        <w:t>ν.</w:t>
      </w:r>
    </w:p>
    <w:p w14:paraId="4713C608" w14:textId="77777777" w:rsidR="008F1855" w:rsidRPr="00F76BDB" w:rsidRDefault="008F1855" w:rsidP="008F1855">
      <w:pPr>
        <w:jc w:val="center"/>
        <w:rPr>
          <w:rFonts w:ascii="Bookman Old Style" w:hAnsi="Bookman Old Style" w:cs="Times New Roman"/>
          <w:iCs/>
          <w:sz w:val="28"/>
          <w:szCs w:val="28"/>
        </w:rPr>
      </w:pPr>
    </w:p>
    <w:p w14:paraId="119902EF" w14:textId="77777777" w:rsidR="008F1855" w:rsidRPr="00F76BDB" w:rsidRDefault="008F1855" w:rsidP="008F1855">
      <w:pPr>
        <w:jc w:val="center"/>
        <w:rPr>
          <w:rFonts w:ascii="Bookman Old Style" w:hAnsi="Bookman Old Style" w:cs="Times New Roman"/>
          <w:iCs/>
          <w:sz w:val="28"/>
          <w:szCs w:val="28"/>
        </w:rPr>
      </w:pPr>
      <w:r w:rsidRPr="00F76BDB">
        <w:rPr>
          <w:rFonts w:ascii="Bookman Old Style" w:hAnsi="Bookman Old Style" w:cs="Times New Roman"/>
          <w:iCs/>
          <w:sz w:val="28"/>
          <w:szCs w:val="28"/>
        </w:rPr>
        <w:t>ΓΕΝΙΚΟΥ ΕΙΣΑΓΓΕΛΕΑ ΤΗΣ ΔΗΜΟΚΡΑΤΙΑΣ</w:t>
      </w:r>
    </w:p>
    <w:p w14:paraId="6DE7150F" w14:textId="77777777" w:rsidR="008F1855" w:rsidRPr="00F76BDB" w:rsidRDefault="008F1855" w:rsidP="008F1855">
      <w:pPr>
        <w:jc w:val="center"/>
        <w:rPr>
          <w:rFonts w:ascii="Bookman Old Style" w:hAnsi="Bookman Old Style" w:cs="Times New Roman"/>
          <w:iCs/>
          <w:sz w:val="28"/>
          <w:szCs w:val="28"/>
        </w:rPr>
      </w:pPr>
    </w:p>
    <w:p w14:paraId="551FC5E7" w14:textId="2846C3B6" w:rsidR="008F1855" w:rsidRPr="00F76BDB" w:rsidRDefault="00F76BDB" w:rsidP="00F76BDB">
      <w:pPr>
        <w:tabs>
          <w:tab w:val="left" w:pos="5670"/>
        </w:tabs>
        <w:rPr>
          <w:rFonts w:ascii="Bookman Old Style" w:hAnsi="Bookman Old Style" w:cs="Times New Roman"/>
          <w:i/>
          <w:sz w:val="28"/>
          <w:szCs w:val="28"/>
        </w:rPr>
      </w:pPr>
      <w:r>
        <w:rPr>
          <w:rFonts w:ascii="Bookman Old Style" w:hAnsi="Bookman Old Style" w:cs="Times New Roman"/>
          <w:i/>
          <w:sz w:val="28"/>
          <w:szCs w:val="28"/>
        </w:rPr>
        <w:tab/>
      </w:r>
      <w:r w:rsidR="008F1855" w:rsidRPr="00F76BDB">
        <w:rPr>
          <w:rFonts w:ascii="Bookman Old Style" w:hAnsi="Bookman Old Style" w:cs="Times New Roman"/>
          <w:i/>
          <w:sz w:val="28"/>
          <w:szCs w:val="28"/>
        </w:rPr>
        <w:t>Εφεσίβλητου.</w:t>
      </w:r>
    </w:p>
    <w:p w14:paraId="3EF806A9" w14:textId="77777777" w:rsidR="008F1855" w:rsidRPr="00F76BDB" w:rsidRDefault="008F1855" w:rsidP="008F1855">
      <w:pPr>
        <w:jc w:val="center"/>
        <w:rPr>
          <w:rFonts w:ascii="Bookman Old Style" w:hAnsi="Bookman Old Style" w:cs="Times New Roman"/>
          <w:sz w:val="28"/>
          <w:szCs w:val="28"/>
        </w:rPr>
      </w:pPr>
      <w:r w:rsidRPr="00F76BDB">
        <w:rPr>
          <w:rFonts w:ascii="Bookman Old Style" w:hAnsi="Bookman Old Style" w:cs="Times New Roman"/>
          <w:sz w:val="28"/>
          <w:szCs w:val="28"/>
        </w:rPr>
        <w:t>……………………</w:t>
      </w:r>
    </w:p>
    <w:p w14:paraId="4C244FC5" w14:textId="77777777" w:rsidR="008F1855" w:rsidRPr="00F76BDB" w:rsidRDefault="008F1855" w:rsidP="008F1855">
      <w:pPr>
        <w:jc w:val="center"/>
        <w:rPr>
          <w:rFonts w:ascii="Bookman Old Style" w:hAnsi="Bookman Old Style" w:cs="Times New Roman"/>
          <w:sz w:val="28"/>
          <w:szCs w:val="28"/>
        </w:rPr>
      </w:pPr>
    </w:p>
    <w:p w14:paraId="28151242" w14:textId="77777777" w:rsidR="008F1855" w:rsidRPr="00F76BDB" w:rsidRDefault="008F1855" w:rsidP="008F1855">
      <w:pPr>
        <w:jc w:val="center"/>
        <w:rPr>
          <w:rFonts w:ascii="Bookman Old Style" w:hAnsi="Bookman Old Style" w:cs="Times New Roman"/>
          <w:sz w:val="28"/>
          <w:szCs w:val="28"/>
        </w:rPr>
      </w:pPr>
    </w:p>
    <w:p w14:paraId="46F3EC75" w14:textId="7D234DAF" w:rsidR="008F1855" w:rsidRPr="00F76BDB" w:rsidRDefault="008F1855" w:rsidP="008F1855">
      <w:pPr>
        <w:tabs>
          <w:tab w:val="left" w:pos="567"/>
        </w:tabs>
        <w:spacing w:line="276" w:lineRule="auto"/>
        <w:rPr>
          <w:rFonts w:ascii="Bookman Old Style" w:hAnsi="Bookman Old Style" w:cs="Times New Roman"/>
          <w:sz w:val="28"/>
          <w:szCs w:val="28"/>
        </w:rPr>
      </w:pPr>
      <w:r w:rsidRPr="00F76BDB">
        <w:rPr>
          <w:rFonts w:ascii="Bookman Old Style" w:hAnsi="Bookman Old Style" w:cs="Times New Roman"/>
          <w:sz w:val="28"/>
          <w:szCs w:val="28"/>
        </w:rPr>
        <w:tab/>
      </w:r>
      <w:r w:rsidRPr="00F76BDB">
        <w:rPr>
          <w:rFonts w:ascii="Bookman Old Style" w:hAnsi="Bookman Old Style" w:cs="Times New Roman"/>
          <w:i/>
          <w:iCs/>
          <w:sz w:val="28"/>
          <w:szCs w:val="28"/>
        </w:rPr>
        <w:t>Γ. Παπαθεοδώρου</w:t>
      </w:r>
      <w:r w:rsidRPr="00F76BDB">
        <w:rPr>
          <w:rFonts w:ascii="Bookman Old Style" w:hAnsi="Bookman Old Style" w:cs="Times New Roman"/>
          <w:sz w:val="28"/>
          <w:szCs w:val="28"/>
        </w:rPr>
        <w:t xml:space="preserve">, για </w:t>
      </w:r>
      <w:r w:rsidR="00B54D92">
        <w:rPr>
          <w:rFonts w:ascii="Bookman Old Style" w:hAnsi="Bookman Old Style" w:cs="Times New Roman"/>
          <w:sz w:val="28"/>
          <w:szCs w:val="28"/>
        </w:rPr>
        <w:t xml:space="preserve">την </w:t>
      </w:r>
      <w:proofErr w:type="spellStart"/>
      <w:r w:rsidRPr="00F76BDB">
        <w:rPr>
          <w:rFonts w:ascii="Bookman Old Style" w:hAnsi="Bookman Old Style" w:cs="Times New Roman"/>
          <w:sz w:val="28"/>
          <w:szCs w:val="28"/>
        </w:rPr>
        <w:t>Εφεσείο</w:t>
      </w:r>
      <w:r w:rsidR="004A4D4A">
        <w:rPr>
          <w:rFonts w:ascii="Bookman Old Style" w:hAnsi="Bookman Old Style" w:cs="Times New Roman"/>
          <w:sz w:val="28"/>
          <w:szCs w:val="28"/>
        </w:rPr>
        <w:t>υσα</w:t>
      </w:r>
      <w:proofErr w:type="spellEnd"/>
      <w:r w:rsidRPr="00F76BDB">
        <w:rPr>
          <w:rFonts w:ascii="Bookman Old Style" w:hAnsi="Bookman Old Style" w:cs="Times New Roman"/>
          <w:sz w:val="28"/>
          <w:szCs w:val="28"/>
        </w:rPr>
        <w:t>.</w:t>
      </w:r>
    </w:p>
    <w:p w14:paraId="0677290E" w14:textId="77777777" w:rsidR="008F1855" w:rsidRPr="00F76BDB" w:rsidRDefault="008F1855" w:rsidP="008F1855">
      <w:pPr>
        <w:spacing w:line="276" w:lineRule="auto"/>
        <w:ind w:left="567"/>
        <w:rPr>
          <w:rFonts w:ascii="Bookman Old Style" w:hAnsi="Bookman Old Style" w:cs="Times New Roman"/>
          <w:sz w:val="28"/>
          <w:szCs w:val="28"/>
        </w:rPr>
      </w:pPr>
      <w:r w:rsidRPr="00F76BDB">
        <w:rPr>
          <w:rFonts w:ascii="Bookman Old Style" w:hAnsi="Bookman Old Style" w:cs="Times New Roman"/>
          <w:i/>
          <w:iCs/>
          <w:sz w:val="28"/>
          <w:szCs w:val="28"/>
        </w:rPr>
        <w:t>Μ. Αναστασίου</w:t>
      </w:r>
      <w:r w:rsidRPr="00F76BDB">
        <w:rPr>
          <w:rFonts w:ascii="Bookman Old Style" w:hAnsi="Bookman Old Style" w:cs="Times New Roman"/>
          <w:sz w:val="28"/>
          <w:szCs w:val="28"/>
        </w:rPr>
        <w:t xml:space="preserve"> </w:t>
      </w:r>
      <w:r w:rsidRPr="00F76BDB">
        <w:rPr>
          <w:rFonts w:ascii="Bookman Old Style" w:hAnsi="Bookman Old Style" w:cs="Times New Roman"/>
          <w:i/>
          <w:iCs/>
          <w:sz w:val="28"/>
          <w:szCs w:val="28"/>
        </w:rPr>
        <w:t>(κα)</w:t>
      </w:r>
      <w:r w:rsidRPr="00F76BDB">
        <w:rPr>
          <w:rFonts w:ascii="Bookman Old Style" w:hAnsi="Bookman Old Style" w:cs="Times New Roman"/>
          <w:sz w:val="28"/>
          <w:szCs w:val="28"/>
        </w:rPr>
        <w:t xml:space="preserve">, </w:t>
      </w:r>
      <w:r w:rsidRPr="00F76BDB">
        <w:rPr>
          <w:rFonts w:ascii="Bookman Old Style" w:hAnsi="Bookman Old Style" w:cs="Times New Roman"/>
          <w:i/>
          <w:iCs/>
          <w:sz w:val="28"/>
          <w:szCs w:val="28"/>
        </w:rPr>
        <w:t>Ανώτερη Δικηγόρος της Δημοκρατίας,</w:t>
      </w:r>
      <w:r w:rsidRPr="00F76BDB">
        <w:rPr>
          <w:rFonts w:ascii="Bookman Old Style" w:hAnsi="Bookman Old Style" w:cs="Times New Roman"/>
          <w:sz w:val="28"/>
          <w:szCs w:val="28"/>
        </w:rPr>
        <w:t xml:space="preserve"> για τον Εφεσίβλητο.</w:t>
      </w:r>
    </w:p>
    <w:p w14:paraId="07AE7EDF" w14:textId="77777777" w:rsidR="008F1855" w:rsidRPr="00F76BDB" w:rsidRDefault="008F1855" w:rsidP="008F1855">
      <w:pPr>
        <w:spacing w:line="276" w:lineRule="auto"/>
        <w:rPr>
          <w:rFonts w:ascii="Bookman Old Style" w:hAnsi="Bookman Old Style" w:cs="Times New Roman"/>
          <w:i/>
          <w:iCs/>
          <w:sz w:val="28"/>
          <w:szCs w:val="28"/>
        </w:rPr>
      </w:pPr>
    </w:p>
    <w:p w14:paraId="4864B30A" w14:textId="77777777" w:rsidR="008F1855" w:rsidRPr="00F76BDB" w:rsidRDefault="008F1855" w:rsidP="008F1855">
      <w:pPr>
        <w:spacing w:line="276" w:lineRule="auto"/>
        <w:rPr>
          <w:rFonts w:ascii="Bookman Old Style" w:hAnsi="Bookman Old Style" w:cs="Times New Roman"/>
          <w:i/>
          <w:iCs/>
          <w:sz w:val="28"/>
          <w:szCs w:val="28"/>
        </w:rPr>
      </w:pPr>
    </w:p>
    <w:p w14:paraId="6E08E241" w14:textId="77777777" w:rsidR="008F1855" w:rsidRPr="00F76BDB" w:rsidRDefault="008F1855" w:rsidP="008F1855">
      <w:pPr>
        <w:tabs>
          <w:tab w:val="left" w:pos="567"/>
        </w:tabs>
        <w:spacing w:line="276" w:lineRule="auto"/>
        <w:jc w:val="center"/>
        <w:rPr>
          <w:rFonts w:ascii="Bookman Old Style" w:hAnsi="Bookman Old Style" w:cs="Times New Roman"/>
          <w:sz w:val="28"/>
          <w:szCs w:val="28"/>
        </w:rPr>
      </w:pPr>
      <w:r w:rsidRPr="00F76BDB">
        <w:rPr>
          <w:rFonts w:ascii="Bookman Old Style" w:hAnsi="Bookman Old Style" w:cs="Times New Roman"/>
          <w:b/>
          <w:sz w:val="28"/>
          <w:szCs w:val="28"/>
        </w:rPr>
        <w:tab/>
        <w:t>ΜΑΛΑΧΤΟΣ, Δ.:</w:t>
      </w:r>
      <w:r w:rsidRPr="00F76BDB">
        <w:rPr>
          <w:rFonts w:ascii="Bookman Old Style" w:hAnsi="Bookman Old Style" w:cs="Times New Roman"/>
          <w:sz w:val="28"/>
          <w:szCs w:val="28"/>
        </w:rPr>
        <w:t xml:space="preserve"> Η ομόφωνη απόφαση του Δικαστηρίου</w:t>
      </w:r>
    </w:p>
    <w:p w14:paraId="2EB4D418" w14:textId="69DA129C" w:rsidR="008F1855" w:rsidRPr="00F76BDB" w:rsidRDefault="008F1855" w:rsidP="008F1855">
      <w:pPr>
        <w:tabs>
          <w:tab w:val="left" w:pos="567"/>
        </w:tabs>
        <w:spacing w:line="276" w:lineRule="auto"/>
        <w:jc w:val="center"/>
        <w:rPr>
          <w:rFonts w:ascii="Bookman Old Style" w:hAnsi="Bookman Old Style" w:cs="Times New Roman"/>
          <w:sz w:val="28"/>
          <w:szCs w:val="28"/>
        </w:rPr>
      </w:pPr>
      <w:r w:rsidRPr="00F76BDB">
        <w:rPr>
          <w:rFonts w:ascii="Bookman Old Style" w:hAnsi="Bookman Old Style" w:cs="Times New Roman"/>
          <w:sz w:val="28"/>
          <w:szCs w:val="28"/>
        </w:rPr>
        <w:t xml:space="preserve"> θα δοθεί από την </w:t>
      </w:r>
      <w:proofErr w:type="spellStart"/>
      <w:r w:rsidRPr="00F76BDB">
        <w:rPr>
          <w:rFonts w:ascii="Bookman Old Style" w:hAnsi="Bookman Old Style" w:cs="Times New Roman"/>
          <w:sz w:val="28"/>
          <w:szCs w:val="28"/>
        </w:rPr>
        <w:t>Εφραίμ</w:t>
      </w:r>
      <w:proofErr w:type="spellEnd"/>
      <w:r w:rsidRPr="00F76BDB">
        <w:rPr>
          <w:rFonts w:ascii="Bookman Old Style" w:hAnsi="Bookman Old Style" w:cs="Times New Roman"/>
          <w:sz w:val="28"/>
          <w:szCs w:val="28"/>
        </w:rPr>
        <w:t>, Δ.</w:t>
      </w:r>
    </w:p>
    <w:p w14:paraId="6A396E17" w14:textId="77777777" w:rsidR="008F1855" w:rsidRPr="00F76BDB" w:rsidRDefault="008F1855" w:rsidP="008F1855">
      <w:pPr>
        <w:tabs>
          <w:tab w:val="left" w:pos="567"/>
        </w:tabs>
        <w:jc w:val="center"/>
        <w:rPr>
          <w:rFonts w:ascii="Bookman Old Style" w:hAnsi="Bookman Old Style" w:cs="Times New Roman"/>
          <w:b/>
          <w:sz w:val="28"/>
          <w:szCs w:val="28"/>
          <w:u w:val="single"/>
        </w:rPr>
      </w:pPr>
    </w:p>
    <w:p w14:paraId="38414C3C" w14:textId="77777777" w:rsidR="008F1855" w:rsidRPr="00F76BDB" w:rsidRDefault="008F1855" w:rsidP="008F1855">
      <w:pPr>
        <w:tabs>
          <w:tab w:val="left" w:pos="567"/>
        </w:tabs>
        <w:jc w:val="center"/>
        <w:rPr>
          <w:rFonts w:ascii="Bookman Old Style" w:hAnsi="Bookman Old Style" w:cs="Times New Roman"/>
          <w:b/>
          <w:sz w:val="28"/>
          <w:szCs w:val="28"/>
          <w:u w:val="single"/>
        </w:rPr>
      </w:pPr>
    </w:p>
    <w:p w14:paraId="3C167882" w14:textId="77777777" w:rsidR="008F1855" w:rsidRPr="00F76BDB" w:rsidRDefault="008F1855" w:rsidP="008F1855">
      <w:pPr>
        <w:tabs>
          <w:tab w:val="left" w:pos="567"/>
        </w:tabs>
        <w:jc w:val="center"/>
        <w:rPr>
          <w:rFonts w:ascii="Bookman Old Style" w:hAnsi="Bookman Old Style" w:cs="Times New Roman"/>
          <w:b/>
          <w:sz w:val="28"/>
          <w:szCs w:val="28"/>
          <w:u w:val="single"/>
        </w:rPr>
      </w:pPr>
      <w:r w:rsidRPr="00F76BDB">
        <w:rPr>
          <w:rFonts w:ascii="Bookman Old Style" w:hAnsi="Bookman Old Style" w:cs="Times New Roman"/>
          <w:b/>
          <w:sz w:val="28"/>
          <w:szCs w:val="28"/>
          <w:u w:val="single"/>
        </w:rPr>
        <w:t>Α Π Ο Φ Α Σ Η</w:t>
      </w:r>
    </w:p>
    <w:p w14:paraId="4519DD7B" w14:textId="77777777" w:rsidR="008F1855" w:rsidRPr="00F76BDB" w:rsidRDefault="008F1855" w:rsidP="008F1855">
      <w:pPr>
        <w:tabs>
          <w:tab w:val="left" w:pos="567"/>
        </w:tabs>
        <w:jc w:val="center"/>
        <w:rPr>
          <w:rFonts w:ascii="Bookman Old Style" w:hAnsi="Bookman Old Style" w:cs="Times New Roman"/>
          <w:b/>
          <w:sz w:val="28"/>
          <w:szCs w:val="28"/>
          <w:u w:val="single"/>
        </w:rPr>
      </w:pPr>
    </w:p>
    <w:p w14:paraId="0C5291C0" w14:textId="77777777" w:rsidR="008F1855" w:rsidRPr="00F76BDB" w:rsidRDefault="008F1855" w:rsidP="008F1855">
      <w:pPr>
        <w:tabs>
          <w:tab w:val="left" w:pos="567"/>
        </w:tabs>
        <w:rPr>
          <w:rFonts w:ascii="Bookman Old Style" w:hAnsi="Bookman Old Style" w:cs="Times New Roman"/>
          <w:b/>
          <w:sz w:val="28"/>
          <w:szCs w:val="28"/>
        </w:rPr>
      </w:pPr>
    </w:p>
    <w:p w14:paraId="2451F68D" w14:textId="42B1DA31" w:rsidR="00F76BDB" w:rsidRPr="00F76BDB" w:rsidRDefault="00F76BDB" w:rsidP="00F76BDB">
      <w:pPr>
        <w:tabs>
          <w:tab w:val="left" w:pos="567"/>
        </w:tabs>
        <w:spacing w:line="480" w:lineRule="auto"/>
        <w:rPr>
          <w:rFonts w:ascii="Bookman Old Style" w:hAnsi="Bookman Old Style" w:cs="Arial"/>
          <w:sz w:val="28"/>
          <w:szCs w:val="28"/>
        </w:rPr>
      </w:pPr>
      <w:r>
        <w:rPr>
          <w:rFonts w:ascii="Bookman Old Style" w:hAnsi="Bookman Old Style" w:cs="Times New Roman"/>
          <w:b/>
          <w:sz w:val="28"/>
          <w:szCs w:val="28"/>
        </w:rPr>
        <w:tab/>
      </w:r>
      <w:r w:rsidR="008F1855" w:rsidRPr="00F76BDB">
        <w:rPr>
          <w:rFonts w:ascii="Bookman Old Style" w:hAnsi="Bookman Old Style" w:cs="Times New Roman"/>
          <w:b/>
          <w:sz w:val="28"/>
          <w:szCs w:val="28"/>
        </w:rPr>
        <w:t>ΕΦΡΑΙΜ, Δ.:</w:t>
      </w:r>
      <w:r w:rsidRPr="00F76BDB">
        <w:rPr>
          <w:rFonts w:ascii="Bookman Old Style" w:hAnsi="Bookman Old Style" w:cs="Times New Roman"/>
          <w:b/>
          <w:sz w:val="28"/>
          <w:szCs w:val="28"/>
        </w:rPr>
        <w:t xml:space="preserve"> </w:t>
      </w:r>
      <w:r w:rsidRPr="00F76BDB">
        <w:rPr>
          <w:rFonts w:ascii="Bookman Old Style" w:hAnsi="Bookman Old Style" w:cs="Arial"/>
          <w:sz w:val="28"/>
          <w:szCs w:val="28"/>
        </w:rPr>
        <w:t xml:space="preserve">Η παρούσα έφεση στρέφεται κατά της πρωτόδικης απόφασης με την οποία </w:t>
      </w:r>
      <w:proofErr w:type="spellStart"/>
      <w:r w:rsidR="005C4250">
        <w:rPr>
          <w:rFonts w:ascii="Bookman Old Style" w:hAnsi="Bookman Old Style" w:cs="Arial"/>
          <w:sz w:val="28"/>
          <w:szCs w:val="28"/>
        </w:rPr>
        <w:t>απερρίφθη</w:t>
      </w:r>
      <w:proofErr w:type="spellEnd"/>
      <w:r w:rsidR="005C4250">
        <w:rPr>
          <w:rFonts w:ascii="Bookman Old Style" w:hAnsi="Bookman Old Style" w:cs="Arial"/>
          <w:sz w:val="28"/>
          <w:szCs w:val="28"/>
        </w:rPr>
        <w:t xml:space="preserve"> η </w:t>
      </w:r>
      <w:r w:rsidRPr="00F76BDB">
        <w:rPr>
          <w:rFonts w:ascii="Bookman Old Style" w:hAnsi="Bookman Old Style" w:cs="Arial"/>
          <w:sz w:val="28"/>
          <w:szCs w:val="28"/>
        </w:rPr>
        <w:t xml:space="preserve">απαίτηση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σε </w:t>
      </w:r>
      <w:r w:rsidRPr="00F76BDB">
        <w:rPr>
          <w:rFonts w:ascii="Bookman Old Style" w:hAnsi="Bookman Old Style" w:cs="Arial"/>
          <w:sz w:val="28"/>
          <w:szCs w:val="28"/>
        </w:rPr>
        <w:lastRenderedPageBreak/>
        <w:t xml:space="preserve">πέντε </w:t>
      </w:r>
      <w:proofErr w:type="spellStart"/>
      <w:r w:rsidRPr="00F76BDB">
        <w:rPr>
          <w:rFonts w:ascii="Bookman Old Style" w:hAnsi="Bookman Old Style" w:cs="Arial"/>
          <w:sz w:val="28"/>
          <w:szCs w:val="28"/>
        </w:rPr>
        <w:t>συνεκδικαζόμενες</w:t>
      </w:r>
      <w:proofErr w:type="spellEnd"/>
      <w:r w:rsidRPr="00F76BDB">
        <w:rPr>
          <w:rFonts w:ascii="Bookman Old Style" w:hAnsi="Bookman Old Style" w:cs="Arial"/>
          <w:sz w:val="28"/>
          <w:szCs w:val="28"/>
        </w:rPr>
        <w:t xml:space="preserve"> Παραπομπές για αποζημιώσεις</w:t>
      </w:r>
      <w:r w:rsidR="005C4250">
        <w:rPr>
          <w:rFonts w:ascii="Bookman Old Style" w:hAnsi="Bookman Old Style" w:cs="Arial"/>
          <w:sz w:val="28"/>
          <w:szCs w:val="28"/>
        </w:rPr>
        <w:t>,</w:t>
      </w:r>
      <w:r w:rsidRPr="00F76BDB">
        <w:rPr>
          <w:rFonts w:ascii="Bookman Old Style" w:hAnsi="Bookman Old Style" w:cs="Arial"/>
          <w:sz w:val="28"/>
          <w:szCs w:val="28"/>
        </w:rPr>
        <w:t xml:space="preserve"> συνεπεία απαλλοτρίωσης μέρους των ακινήτων της δυνάμει Γνωστοποιήσεων Απαλλοτρίωσης </w:t>
      </w:r>
      <w:proofErr w:type="spellStart"/>
      <w:r w:rsidRPr="00F76BDB">
        <w:rPr>
          <w:rFonts w:ascii="Bookman Old Style" w:hAnsi="Bookman Old Style" w:cs="Arial"/>
          <w:sz w:val="28"/>
          <w:szCs w:val="28"/>
        </w:rPr>
        <w:t>ημερ</w:t>
      </w:r>
      <w:proofErr w:type="spellEnd"/>
      <w:r w:rsidRPr="00F76BDB">
        <w:rPr>
          <w:rFonts w:ascii="Bookman Old Style" w:hAnsi="Bookman Old Style" w:cs="Arial"/>
          <w:sz w:val="28"/>
          <w:szCs w:val="28"/>
        </w:rPr>
        <w:t xml:space="preserve">. 4.5.2001 και 13.12.2002. </w:t>
      </w:r>
    </w:p>
    <w:p w14:paraId="776C328C" w14:textId="485A3B86"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Το πρωτόδικο Δικαστήριο κατέληξε ότι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δεν δικαιούτο σε αποζημίωση συνεπεία της απαλλοτρίωσης καθότι έπρεπε να είχε διεκδικήσει αποζημίωση δυνάμει του άρθρου 67 του </w:t>
      </w:r>
      <w:r w:rsidR="00426F2C">
        <w:rPr>
          <w:rFonts w:ascii="Bookman Old Style" w:hAnsi="Bookman Old Style" w:cs="Arial"/>
          <w:sz w:val="28"/>
          <w:szCs w:val="28"/>
        </w:rPr>
        <w:t xml:space="preserve">περί Πολεοδομίας και Χωροταξίας </w:t>
      </w:r>
      <w:r w:rsidRPr="00F76BDB">
        <w:rPr>
          <w:rFonts w:ascii="Bookman Old Style" w:hAnsi="Bookman Old Style" w:cs="Arial"/>
          <w:sz w:val="28"/>
          <w:szCs w:val="28"/>
        </w:rPr>
        <w:t xml:space="preserve">Ν.90/72, κάτι το οποίο παρέλειψε να πράξει. Και τούτο, καθότι είχε προηγηθεί η έκδοση πολεοδομικής άδειας και άδειας οικοδομής δυνάμει των οποίων είχε τεθεί όρος για την παραχώρηση του υπό κρίση μέρους των ακινήτων και εγγραφή του ως δημόσιου δρόμου.  </w:t>
      </w:r>
    </w:p>
    <w:p w14:paraId="0CDC0EF6" w14:textId="002E5966"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Στο περίγραμμα της αγόρευσης του ο δικηγόρος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απέσυρε τον δεύτερο λόγο έφεσης. Οι υπόλοιποι λόγοι έφεσης εστιάζονται στην</w:t>
      </w:r>
      <w:r w:rsidR="00F16BC4">
        <w:rPr>
          <w:rFonts w:ascii="Bookman Old Style" w:hAnsi="Bookman Old Style" w:cs="Arial"/>
          <w:sz w:val="28"/>
          <w:szCs w:val="28"/>
        </w:rPr>
        <w:t>, κατά τη θέση της,</w:t>
      </w:r>
      <w:r w:rsidRPr="00F76BDB">
        <w:rPr>
          <w:rFonts w:ascii="Bookman Old Style" w:hAnsi="Bookman Old Style" w:cs="Arial"/>
          <w:sz w:val="28"/>
          <w:szCs w:val="28"/>
        </w:rPr>
        <w:t xml:space="preserve"> εσφαλμένη κρίση του πρωτόδικου Δικαστηρίου </w:t>
      </w:r>
    </w:p>
    <w:p w14:paraId="7136AEA2" w14:textId="1BF48A22" w:rsidR="00F76BDB" w:rsidRPr="00F76BDB" w:rsidRDefault="00F76BDB" w:rsidP="00F76BDB">
      <w:pPr>
        <w:pStyle w:val="ListParagraph"/>
        <w:numPr>
          <w:ilvl w:val="0"/>
          <w:numId w:val="3"/>
        </w:numPr>
        <w:spacing w:before="240" w:after="160" w:line="480" w:lineRule="auto"/>
        <w:ind w:right="0"/>
        <w:rPr>
          <w:rFonts w:ascii="Bookman Old Style" w:hAnsi="Bookman Old Style" w:cs="Arial"/>
          <w:sz w:val="28"/>
          <w:szCs w:val="28"/>
        </w:rPr>
      </w:pPr>
      <w:r w:rsidRPr="00F76BDB">
        <w:rPr>
          <w:rFonts w:ascii="Bookman Old Style" w:hAnsi="Bookman Old Style" w:cs="Arial"/>
          <w:sz w:val="28"/>
          <w:szCs w:val="28"/>
        </w:rPr>
        <w:t xml:space="preserve">ως προς τη φύση της απαίτησης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η οποία αφορά αξίωση για αποζημιώσεις</w:t>
      </w:r>
      <w:r w:rsidR="00672405">
        <w:rPr>
          <w:rFonts w:ascii="Bookman Old Style" w:hAnsi="Bookman Old Style" w:cs="Arial"/>
          <w:sz w:val="28"/>
          <w:szCs w:val="28"/>
        </w:rPr>
        <w:t>,</w:t>
      </w:r>
      <w:r w:rsidRPr="00F76BDB">
        <w:rPr>
          <w:rFonts w:ascii="Bookman Old Style" w:hAnsi="Bookman Old Style" w:cs="Arial"/>
          <w:sz w:val="28"/>
          <w:szCs w:val="28"/>
        </w:rPr>
        <w:t xml:space="preserve"> λόγω στέρησης μέρους της περιουσίας της και δυσμενούς επηρεασμού της συνεπεία της απαλλοτρίωσης, </w:t>
      </w:r>
    </w:p>
    <w:p w14:paraId="59D670B1" w14:textId="7BBF7BF0" w:rsidR="00F76BDB" w:rsidRPr="00F76BDB" w:rsidRDefault="00F76BDB" w:rsidP="00F76BDB">
      <w:pPr>
        <w:pStyle w:val="ListParagraph"/>
        <w:numPr>
          <w:ilvl w:val="0"/>
          <w:numId w:val="3"/>
        </w:numPr>
        <w:spacing w:before="240" w:after="160" w:line="480" w:lineRule="auto"/>
        <w:ind w:right="0"/>
        <w:rPr>
          <w:rFonts w:ascii="Bookman Old Style" w:hAnsi="Bookman Old Style" w:cs="Arial"/>
          <w:sz w:val="28"/>
          <w:szCs w:val="28"/>
        </w:rPr>
      </w:pPr>
      <w:r w:rsidRPr="00F76BDB">
        <w:rPr>
          <w:rFonts w:ascii="Bookman Old Style" w:hAnsi="Bookman Old Style" w:cs="Arial"/>
          <w:sz w:val="28"/>
          <w:szCs w:val="28"/>
        </w:rPr>
        <w:t xml:space="preserve">ότι οι όροι στις </w:t>
      </w:r>
      <w:proofErr w:type="spellStart"/>
      <w:r w:rsidRPr="00F76BDB">
        <w:rPr>
          <w:rFonts w:ascii="Bookman Old Style" w:hAnsi="Bookman Old Style" w:cs="Arial"/>
          <w:sz w:val="28"/>
          <w:szCs w:val="28"/>
        </w:rPr>
        <w:t>εκδοθείσες</w:t>
      </w:r>
      <w:proofErr w:type="spellEnd"/>
      <w:r w:rsidRPr="00F76BDB">
        <w:rPr>
          <w:rFonts w:ascii="Bookman Old Style" w:hAnsi="Bookman Old Style" w:cs="Arial"/>
          <w:sz w:val="28"/>
          <w:szCs w:val="28"/>
        </w:rPr>
        <w:t xml:space="preserve"> άδειες δεν εξομοιώνονται με τους περιορισμούς στους οποίους γίνεται αναφορά στο άρθρο 10(4) του </w:t>
      </w:r>
      <w:r w:rsidR="00F16BC4">
        <w:rPr>
          <w:rFonts w:ascii="Bookman Old Style" w:hAnsi="Bookman Old Style" w:cs="Arial"/>
          <w:sz w:val="28"/>
          <w:szCs w:val="28"/>
        </w:rPr>
        <w:t xml:space="preserve">περί Αναγκαστικής Απαλλοτριώσεως </w:t>
      </w:r>
      <w:r w:rsidRPr="00F76BDB">
        <w:rPr>
          <w:rFonts w:ascii="Bookman Old Style" w:hAnsi="Bookman Old Style" w:cs="Arial"/>
          <w:sz w:val="28"/>
          <w:szCs w:val="28"/>
        </w:rPr>
        <w:t xml:space="preserve">Ν.15/62 και </w:t>
      </w:r>
    </w:p>
    <w:p w14:paraId="12AE0940" w14:textId="77777777" w:rsidR="00F76BDB" w:rsidRPr="00F76BDB" w:rsidRDefault="00F76BDB" w:rsidP="00F76BDB">
      <w:pPr>
        <w:pStyle w:val="ListParagraph"/>
        <w:numPr>
          <w:ilvl w:val="0"/>
          <w:numId w:val="3"/>
        </w:numPr>
        <w:spacing w:after="160" w:line="480" w:lineRule="auto"/>
        <w:ind w:right="0"/>
        <w:rPr>
          <w:rFonts w:ascii="Bookman Old Style" w:hAnsi="Bookman Old Style" w:cs="Arial"/>
          <w:sz w:val="28"/>
          <w:szCs w:val="28"/>
        </w:rPr>
      </w:pPr>
      <w:r w:rsidRPr="00F76BDB">
        <w:rPr>
          <w:rFonts w:ascii="Bookman Old Style" w:hAnsi="Bookman Old Style" w:cs="Arial"/>
          <w:sz w:val="28"/>
          <w:szCs w:val="28"/>
        </w:rPr>
        <w:t xml:space="preserve">ότι η μη απαίτηση αποζημίωσης στη βάση των εν λόγω αδειών στερεί το δικαίωμα της </w:t>
      </w:r>
      <w:proofErr w:type="spellStart"/>
      <w:r w:rsidRPr="00F76BDB">
        <w:rPr>
          <w:rFonts w:ascii="Bookman Old Style" w:hAnsi="Bookman Old Style" w:cs="Arial"/>
          <w:sz w:val="28"/>
          <w:szCs w:val="28"/>
        </w:rPr>
        <w:t>Αιτήτριας</w:t>
      </w:r>
      <w:proofErr w:type="spellEnd"/>
      <w:r w:rsidRPr="00F76BDB">
        <w:rPr>
          <w:rFonts w:ascii="Bookman Old Style" w:hAnsi="Bookman Old Style" w:cs="Arial"/>
          <w:sz w:val="28"/>
          <w:szCs w:val="28"/>
        </w:rPr>
        <w:t xml:space="preserve"> να αιτείται αποζημίωσης συνεπεία της απαλλοτρίωσης. </w:t>
      </w:r>
    </w:p>
    <w:p w14:paraId="39A592A6" w14:textId="0151C1FF"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Αντίθετη θέση εξέφρασε η πλευρά του Εφεσίβλητου, σύμφωνα με την οποία η πρωτόδικη απόφαση είναι καθόλα ορθή. </w:t>
      </w:r>
    </w:p>
    <w:p w14:paraId="1FF7BF33" w14:textId="58D20E3E"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Κατά την ακρόαση της έφεσης οι δικηγόροι ανέπτυξαν τις εκατέρωθεν θέσεις τους τόσο στα περιγράμματα των αγορεύσεων τους όσο και προφορικώς. </w:t>
      </w:r>
    </w:p>
    <w:p w14:paraId="7E6ED9A5" w14:textId="30526ED4"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Στην πρωτόδικη απόφαση το Δικαστήριο προέβη εξαρχής σε ευρήματα για την έκδοση της πολεοδομικής άδειας και της άδειας οικοδομής καθώς επίσης και των Γνωστοποιήσε</w:t>
      </w:r>
      <w:r w:rsidR="00121054">
        <w:rPr>
          <w:rFonts w:ascii="Bookman Old Style" w:hAnsi="Bookman Old Style" w:cs="Arial"/>
          <w:sz w:val="28"/>
          <w:szCs w:val="28"/>
        </w:rPr>
        <w:t>ων</w:t>
      </w:r>
      <w:r w:rsidRPr="00F76BDB">
        <w:rPr>
          <w:rFonts w:ascii="Bookman Old Style" w:hAnsi="Bookman Old Style" w:cs="Arial"/>
          <w:sz w:val="28"/>
          <w:szCs w:val="28"/>
        </w:rPr>
        <w:t xml:space="preserve"> Απαλλοτρίωσης. Συγκεκριμένα το Δικαστήριο ανέφερε ότι στις 17.3.98 εκδόθηκε η πολεοδομική άδεια υπ’ </w:t>
      </w:r>
      <w:proofErr w:type="spellStart"/>
      <w:r w:rsidRPr="00F76BDB">
        <w:rPr>
          <w:rFonts w:ascii="Bookman Old Style" w:hAnsi="Bookman Old Style" w:cs="Arial"/>
          <w:sz w:val="28"/>
          <w:szCs w:val="28"/>
        </w:rPr>
        <w:t>αρ</w:t>
      </w:r>
      <w:proofErr w:type="spellEnd"/>
      <w:r w:rsidRPr="00F76BDB">
        <w:rPr>
          <w:rFonts w:ascii="Bookman Old Style" w:hAnsi="Bookman Old Style" w:cs="Arial"/>
          <w:sz w:val="28"/>
          <w:szCs w:val="28"/>
        </w:rPr>
        <w:t xml:space="preserve">. ΠΕΥ 1878 για την ανάπτυξη των επίδικων κτημάτων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υπ’ </w:t>
      </w:r>
      <w:proofErr w:type="spellStart"/>
      <w:r w:rsidRPr="00F76BDB">
        <w:rPr>
          <w:rFonts w:ascii="Bookman Old Style" w:hAnsi="Bookman Old Style" w:cs="Arial"/>
          <w:sz w:val="28"/>
          <w:szCs w:val="28"/>
        </w:rPr>
        <w:t>αρ</w:t>
      </w:r>
      <w:proofErr w:type="spellEnd"/>
      <w:r w:rsidRPr="00F76BDB">
        <w:rPr>
          <w:rFonts w:ascii="Bookman Old Style" w:hAnsi="Bookman Old Style" w:cs="Arial"/>
          <w:sz w:val="28"/>
          <w:szCs w:val="28"/>
        </w:rPr>
        <w:t xml:space="preserve">. εγγραφής 07/1934, 07/1935 και 07/3178 υπό όρους. Μεταξύ των όρων ήταν και ο όρος 61, ο οποίος προέβλεπε ότι το δυτικό τμήμα της υπό ανάπτυξη ακίνητης ιδιοκτησίας που φαίνεται με κόκκινη γραμμή και κίτρινο χρώμα στο εγκεκριμένο χωρομετρικό σχέδιο, θα παραχωρηθεί και εγγραφεί ως δημόσιος δρόμος και θα διαμορφωθεί σύμφωνα με τις υποδείξεις της αρμόδιας Τοπικής Αρχής. Ακολούθως, μετά από αίτηση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εκδόθηκε άδεια οικοδομής η οποία</w:t>
      </w:r>
      <w:r w:rsidR="00121054">
        <w:rPr>
          <w:rFonts w:ascii="Bookman Old Style" w:hAnsi="Bookman Old Style" w:cs="Arial"/>
          <w:sz w:val="28"/>
          <w:szCs w:val="28"/>
        </w:rPr>
        <w:t xml:space="preserve"> </w:t>
      </w:r>
      <w:r w:rsidRPr="00F76BDB">
        <w:rPr>
          <w:rFonts w:ascii="Bookman Old Style" w:hAnsi="Bookman Old Style" w:cs="Arial"/>
          <w:sz w:val="28"/>
          <w:szCs w:val="28"/>
        </w:rPr>
        <w:t xml:space="preserve">περιλάμβανε τον ίδιο όρο. Το πρωτόδικο Δικαστήριο επισήμανε ότι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ουδέποτε διαμαρτυρήθηκε για την επιβολή των πιο πάνω όρων αλλά απέστειλε επιστολή τον Μάρτιο του 1998 προς το Επαρχιακό Γραφείο Πολεοδομίας, με την οποία το πληροφόρησε ότι αποδεχόταν </w:t>
      </w:r>
      <w:r w:rsidRPr="00F76BDB">
        <w:rPr>
          <w:rFonts w:ascii="Bookman Old Style" w:hAnsi="Bookman Old Style" w:cs="Arial"/>
          <w:i/>
          <w:iCs/>
          <w:sz w:val="28"/>
          <w:szCs w:val="28"/>
        </w:rPr>
        <w:t>«… το οδικό δίκτυο, τη ρυμοτομία και τη λωρίδα πρασίνου που επέβαλε η Τοπική Αρχή</w:t>
      </w:r>
      <w:r w:rsidRPr="00F76BDB">
        <w:rPr>
          <w:rFonts w:ascii="Bookman Old Style" w:hAnsi="Bookman Old Style" w:cs="Arial"/>
          <w:sz w:val="28"/>
          <w:szCs w:val="28"/>
        </w:rPr>
        <w:t xml:space="preserve">». Κατά τον χρόνο δημοσίευσης της πρώτης Γνωστοποίησης Απαλλοτρίωσης οι εργασίες </w:t>
      </w:r>
      <w:r w:rsidR="00121054">
        <w:rPr>
          <w:rFonts w:ascii="Bookman Old Style" w:hAnsi="Bookman Old Style" w:cs="Arial"/>
          <w:sz w:val="28"/>
          <w:szCs w:val="28"/>
        </w:rPr>
        <w:t xml:space="preserve">ανάπτυξης στα επίδικα κτήματα </w:t>
      </w:r>
      <w:r w:rsidRPr="00F76BDB">
        <w:rPr>
          <w:rFonts w:ascii="Bookman Old Style" w:hAnsi="Bookman Old Style" w:cs="Arial"/>
          <w:sz w:val="28"/>
          <w:szCs w:val="28"/>
        </w:rPr>
        <w:t xml:space="preserve">είχαν ήδη αρχίσει όμως δεν είχαν ολοκληρωθεί. Αυτές ολοκληρώθηκαν σε μεταγενέστερο στάδιο το οποίο δεν διευκρινίστηκε. Το πρωτόδικο Δικαστήριο αναφέρει επίσης ότι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λειτουργεί το έργο μέχρι σήμερα ως εμπορικό κατάστημα χωρίς να έχει εξασφαλίσει πιστοποιητικό τελικής έγκρισης της οικοδομής και ότι παρέλειψε να εγγράψει στο όνομα της Κυπριακής Δημοκρατίας το τμήμα του ακινήτου το οποίο, σύμφωνα με τους όρους της πολεοδομικής άδειας και της άδειας οικοδομής, είχε υποχρέωση να παραχωρήσει στο δημόσιο. Όπως καταγράφεται στην απόφαση, στις 4.5.2001 δημοσιεύτηκε η πρώτη Γνωστοποίηση Απαλλοτρίωσης των επίδικ</w:t>
      </w:r>
      <w:r w:rsidR="00B86013">
        <w:rPr>
          <w:rFonts w:ascii="Bookman Old Style" w:hAnsi="Bookman Old Style" w:cs="Arial"/>
          <w:sz w:val="28"/>
          <w:szCs w:val="28"/>
        </w:rPr>
        <w:t>ω</w:t>
      </w:r>
      <w:r w:rsidRPr="00F76BDB">
        <w:rPr>
          <w:rFonts w:ascii="Bookman Old Style" w:hAnsi="Bookman Old Style" w:cs="Arial"/>
          <w:sz w:val="28"/>
          <w:szCs w:val="28"/>
        </w:rPr>
        <w:t xml:space="preserve">ν κτημάτων, το διάταγμα γνωστοποίησης δημοσιεύτηκε στις 2.5.2002 και ακολούθησε η δημοσίευση της δεύτερης Γνωστοποίησης Απαλλοτρίωσης των επίδικων κτημάτων στις 13.12.2002 και του διατάγματος </w:t>
      </w:r>
      <w:r w:rsidR="00121054">
        <w:rPr>
          <w:rFonts w:ascii="Bookman Old Style" w:hAnsi="Bookman Old Style" w:cs="Arial"/>
          <w:sz w:val="28"/>
          <w:szCs w:val="28"/>
        </w:rPr>
        <w:t xml:space="preserve">Απαλλοτρίωσης </w:t>
      </w:r>
      <w:r w:rsidRPr="00F76BDB">
        <w:rPr>
          <w:rFonts w:ascii="Bookman Old Style" w:hAnsi="Bookman Old Style" w:cs="Arial"/>
          <w:sz w:val="28"/>
          <w:szCs w:val="28"/>
        </w:rPr>
        <w:t xml:space="preserve">στις 12.12.2003. Τόσο η αξία της </w:t>
      </w:r>
      <w:proofErr w:type="spellStart"/>
      <w:r w:rsidRPr="00F76BDB">
        <w:rPr>
          <w:rFonts w:ascii="Bookman Old Style" w:hAnsi="Bookman Old Style" w:cs="Arial"/>
          <w:sz w:val="28"/>
          <w:szCs w:val="28"/>
        </w:rPr>
        <w:t>απαλλοτριωθείσας</w:t>
      </w:r>
      <w:proofErr w:type="spellEnd"/>
      <w:r w:rsidRPr="00F76BDB">
        <w:rPr>
          <w:rFonts w:ascii="Bookman Old Style" w:hAnsi="Bookman Old Style" w:cs="Arial"/>
          <w:sz w:val="28"/>
          <w:szCs w:val="28"/>
        </w:rPr>
        <w:t xml:space="preserve"> γης όσο και το ποσοστό του δυσμενούς επηρεασμού επί της αξίας της εναπομείνασας έκτασης, σε περίπτωση που ήθελε κριθεί ότι υπήρχε τέτοιος επηρεασμός, συμφωνήθηκαν από τις δύο πλευρές. </w:t>
      </w:r>
    </w:p>
    <w:p w14:paraId="7DA09223" w14:textId="532364CA"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Ακολούθως το πρωτόδικο Δικαστήριο αναφέρθηκε στην προσκομισθείσα μαρτυρία των δύο εμπειρογνωμόνων, ενός για την κάθε πλευρά, επισημαίνοντας ότι καλείται να αποφασίσει δύο νομικά ζητήματα. Το πρώτο είναι κατά πόσο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δικαιούται σε αποζημιώσεις για την απαλλοτρίωση μέρους του ακινήτου, εφόσον το τμήμα που είχε απαλλοτριωθεί θα έπρεπε, σύμφωνα με τους όρους της πολεοδομικής άδειας, να παραχωρείτο στο δημόσιο και το δεύτερο κατά πόσο η απαλλοτρίωση και γενικά η κατασκευή του επίδικου δρόμου επηρέασε δυσμενώς τα ακίνητα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w:t>
      </w:r>
    </w:p>
    <w:p w14:paraId="14134B05" w14:textId="2F742493"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Στα πλαίσια εξέτασης των λόγων έφεσης, καθίσταται αναγκαία η ενασχόληση με το κατά πόσο οι Γνωστοποιήσεις Απαλλοτρίωσης αφορούν στο ίδιο μέρος των ακινήτων που είχε παραχωρηθεί προς εγγραφή ως δημόσιου δρόμου καθότι άπτεται της ορθότητας της κρίσης του πρωτόδικου Δικαστηρίου ως προς την ακριβή φύση της απαίτησης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Αυτό το ζήτημα αναλύεται και από τις δύο πλευρές στα περιγράμματα των αγορεύσεων τους. </w:t>
      </w:r>
    </w:p>
    <w:p w14:paraId="4331AD7F" w14:textId="2DA99E30"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Όπως προκύπτει από την πρωτόδικη απόφαση, αυτό το ζήτημα δεν απασχόλησε το Δικαστήριο ως επίδικο, </w:t>
      </w:r>
      <w:proofErr w:type="spellStart"/>
      <w:r w:rsidRPr="00F76BDB">
        <w:rPr>
          <w:rFonts w:ascii="Bookman Old Style" w:hAnsi="Bookman Old Style" w:cs="Arial"/>
          <w:sz w:val="28"/>
          <w:szCs w:val="28"/>
        </w:rPr>
        <w:t>εξο</w:t>
      </w:r>
      <w:r w:rsidR="005C4250">
        <w:rPr>
          <w:rFonts w:ascii="Bookman Old Style" w:hAnsi="Bookman Old Style" w:cs="Arial"/>
          <w:sz w:val="28"/>
          <w:szCs w:val="28"/>
        </w:rPr>
        <w:t>ύ</w:t>
      </w:r>
      <w:proofErr w:type="spellEnd"/>
      <w:r w:rsidRPr="00F76BDB">
        <w:rPr>
          <w:rFonts w:ascii="Bookman Old Style" w:hAnsi="Bookman Old Style" w:cs="Arial"/>
          <w:sz w:val="28"/>
          <w:szCs w:val="28"/>
        </w:rPr>
        <w:t xml:space="preserve"> και προέβη στα προαναφερόμενα ευρήματα του χωρίς οποιαδήποτε αξιολόγηση της μαρτυρίας. Διαφαίνεται ότι το ζήτημα είχε απασχολήσει κατά τη μαρτυρία των δύο μαρτύρων που κατέθεσαν ενώπιον του πρωτόδικου Δικαστηρίου. Παρά ταύτα, είναι σημαντικό να λεχθεί ότι αυτό το ζήτημα δεν κατέστη επίδικο με βάση τη δικογραφία. Η έκθεση απαίτησης σε καθεμιά των Παραπομπών αναφέρεται μόνο στη</w:t>
      </w:r>
      <w:r w:rsidR="0077499B" w:rsidRPr="00E52849">
        <w:rPr>
          <w:rFonts w:ascii="Bookman Old Style" w:hAnsi="Bookman Old Style" w:cs="Arial"/>
          <w:sz w:val="28"/>
          <w:szCs w:val="28"/>
        </w:rPr>
        <w:t>ν</w:t>
      </w:r>
      <w:r w:rsidRPr="00F76BDB">
        <w:rPr>
          <w:rFonts w:ascii="Bookman Old Style" w:hAnsi="Bookman Old Style" w:cs="Arial"/>
          <w:sz w:val="28"/>
          <w:szCs w:val="28"/>
        </w:rPr>
        <w:t xml:space="preserve"> αντίστοιχη Γνωστοποίηση Απαλλοτρίωσης, στην αξία του </w:t>
      </w:r>
      <w:proofErr w:type="spellStart"/>
      <w:r w:rsidRPr="00F76BDB">
        <w:rPr>
          <w:rFonts w:ascii="Bookman Old Style" w:hAnsi="Bookman Old Style" w:cs="Arial"/>
          <w:sz w:val="28"/>
          <w:szCs w:val="28"/>
        </w:rPr>
        <w:t>απαλλοτριωθέντος</w:t>
      </w:r>
      <w:proofErr w:type="spellEnd"/>
      <w:r w:rsidRPr="00F76BDB">
        <w:rPr>
          <w:rFonts w:ascii="Bookman Old Style" w:hAnsi="Bookman Old Style" w:cs="Arial"/>
          <w:sz w:val="28"/>
          <w:szCs w:val="28"/>
        </w:rPr>
        <w:t xml:space="preserve"> τμήματος και στην απαίτηση για αποζημιώσεις. Στην τροποποιημένη Υπεράσπιση σε όλες τις Παραπομπές, προβάλλεται ο ισχυρισμός ότι ο σκοπός της απαλλοτρίωσης ήταν η κατασκευή της προέκτασης της οδού Ελαιώνων και η διαμόρφωση και κατασκευή δευτερεύοντος οδικού δικτύου στην περιοχή. Αναφέρεται επίσης πως για τα επίδικα ακίνητα εί</w:t>
      </w:r>
      <w:r w:rsidR="0072630E">
        <w:rPr>
          <w:rFonts w:ascii="Bookman Old Style" w:hAnsi="Bookman Old Style" w:cs="Arial"/>
          <w:sz w:val="28"/>
          <w:szCs w:val="28"/>
        </w:rPr>
        <w:t>χε</w:t>
      </w:r>
      <w:r w:rsidRPr="00F76BDB">
        <w:rPr>
          <w:rFonts w:ascii="Bookman Old Style" w:hAnsi="Bookman Old Style" w:cs="Arial"/>
          <w:sz w:val="28"/>
          <w:szCs w:val="28"/>
        </w:rPr>
        <w:t xml:space="preserve"> εκδοθεί πολεοδομική άδεια υπ’ </w:t>
      </w:r>
      <w:proofErr w:type="spellStart"/>
      <w:r w:rsidRPr="00F76BDB">
        <w:rPr>
          <w:rFonts w:ascii="Bookman Old Style" w:hAnsi="Bookman Old Style" w:cs="Arial"/>
          <w:sz w:val="28"/>
          <w:szCs w:val="28"/>
        </w:rPr>
        <w:t>αρ</w:t>
      </w:r>
      <w:proofErr w:type="spellEnd"/>
      <w:r w:rsidRPr="00F76BDB">
        <w:rPr>
          <w:rFonts w:ascii="Bookman Old Style" w:hAnsi="Bookman Old Style" w:cs="Arial"/>
          <w:sz w:val="28"/>
          <w:szCs w:val="28"/>
        </w:rPr>
        <w:t xml:space="preserve">. ΛΕΥ1878/97 </w:t>
      </w:r>
      <w:proofErr w:type="spellStart"/>
      <w:r w:rsidRPr="00F76BDB">
        <w:rPr>
          <w:rFonts w:ascii="Bookman Old Style" w:hAnsi="Bookman Old Style" w:cs="Arial"/>
          <w:sz w:val="28"/>
          <w:szCs w:val="28"/>
        </w:rPr>
        <w:t>ημερ</w:t>
      </w:r>
      <w:proofErr w:type="spellEnd"/>
      <w:r w:rsidRPr="00F76BDB">
        <w:rPr>
          <w:rFonts w:ascii="Bookman Old Style" w:hAnsi="Bookman Old Style" w:cs="Arial"/>
          <w:sz w:val="28"/>
          <w:szCs w:val="28"/>
        </w:rPr>
        <w:t xml:space="preserve">. 17.3.1998 για ανέγερση εκθεσιακού χώρου και γραφείων, ενώ βάσει της άδειας ολόκληρη η υπό απαλλοτρίωση έκταση είχε παραχωρηθεί ως δημόσιος δρόμος. Στην Απάντηση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(εκεί </w:t>
      </w:r>
      <w:proofErr w:type="spellStart"/>
      <w:r w:rsidRPr="00F76BDB">
        <w:rPr>
          <w:rFonts w:ascii="Bookman Old Style" w:hAnsi="Bookman Old Style" w:cs="Arial"/>
          <w:sz w:val="28"/>
          <w:szCs w:val="28"/>
        </w:rPr>
        <w:t>Αιτήτρια</w:t>
      </w:r>
      <w:proofErr w:type="spellEnd"/>
      <w:r w:rsidRPr="00F76BDB">
        <w:rPr>
          <w:rFonts w:ascii="Bookman Old Style" w:hAnsi="Bookman Old Style" w:cs="Arial"/>
          <w:sz w:val="28"/>
          <w:szCs w:val="28"/>
        </w:rPr>
        <w:t xml:space="preserve">) προβαίνει σε γενική άρνηση των ισχυρισμών της Εφεσίβλητης (εκεί </w:t>
      </w:r>
      <w:proofErr w:type="spellStart"/>
      <w:r w:rsidRPr="00F76BDB">
        <w:rPr>
          <w:rFonts w:ascii="Bookman Old Style" w:hAnsi="Bookman Old Style" w:cs="Arial"/>
          <w:sz w:val="28"/>
          <w:szCs w:val="28"/>
        </w:rPr>
        <w:t>Αποζημιούσας</w:t>
      </w:r>
      <w:proofErr w:type="spellEnd"/>
      <w:r w:rsidRPr="00F76BDB">
        <w:rPr>
          <w:rFonts w:ascii="Bookman Old Style" w:hAnsi="Bookman Old Style" w:cs="Arial"/>
          <w:sz w:val="28"/>
          <w:szCs w:val="28"/>
        </w:rPr>
        <w:t xml:space="preserve"> Αρχής) και ισχυρίζεται ότι ουδέποτε συγκατατέθηκε με οποιονδήποτε τρόπο στην παραχώρηση της </w:t>
      </w:r>
      <w:proofErr w:type="spellStart"/>
      <w:r w:rsidRPr="00F76BDB">
        <w:rPr>
          <w:rFonts w:ascii="Bookman Old Style" w:hAnsi="Bookman Old Style" w:cs="Arial"/>
          <w:sz w:val="28"/>
          <w:szCs w:val="28"/>
        </w:rPr>
        <w:t>απαλλοτριωθείσας</w:t>
      </w:r>
      <w:proofErr w:type="spellEnd"/>
      <w:r w:rsidRPr="00F76BDB">
        <w:rPr>
          <w:rFonts w:ascii="Bookman Old Style" w:hAnsi="Bookman Old Style" w:cs="Arial"/>
          <w:sz w:val="28"/>
          <w:szCs w:val="28"/>
        </w:rPr>
        <w:t xml:space="preserve"> έκτασης για την κατασκευή δρόμου και κυρίως χωρίς αποζημίωση. Ισχυρίζεται ότι όταν εκδόθηκε η πολεοδομική άδεια η οποία αναφέρεται στην Υπεράσπιση, δεν υπήρχε θέμα Γνωστοποίησης Απαλλοτρίωσης η οποία έλαβε χώρα στις 13.12.20</w:t>
      </w:r>
      <w:r w:rsidR="00F8572D" w:rsidRPr="00E52849">
        <w:rPr>
          <w:rFonts w:ascii="Bookman Old Style" w:hAnsi="Bookman Old Style" w:cs="Arial"/>
          <w:sz w:val="28"/>
          <w:szCs w:val="28"/>
        </w:rPr>
        <w:t>0</w:t>
      </w:r>
      <w:r w:rsidRPr="00F76BDB">
        <w:rPr>
          <w:rFonts w:ascii="Bookman Old Style" w:hAnsi="Bookman Old Style" w:cs="Arial"/>
          <w:sz w:val="28"/>
          <w:szCs w:val="28"/>
        </w:rPr>
        <w:t xml:space="preserve">2, ότι η ανάπτυξη στην οποία προέβη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βάσει της πολεοδομικής άδειας είχε αρχίσει και ήταν σε εξέλιξη πολύ πιο πριν τη Γνωστοποίηση Απαλλοτρίωσης και ότι ο όρος της πολεοδομικής άδειας αφορούσε επίσημη ρυμοτομία στην οποία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ουδέποτε συγκατατέθηκε. </w:t>
      </w:r>
    </w:p>
    <w:p w14:paraId="63D9C131" w14:textId="385B2528"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Με βάση τη δικογραφία, καθίσταται ξεκάθαρο πως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δέχθηκε τη θέση της </w:t>
      </w:r>
      <w:proofErr w:type="spellStart"/>
      <w:r w:rsidRPr="00F76BDB">
        <w:rPr>
          <w:rFonts w:ascii="Bookman Old Style" w:hAnsi="Bookman Old Style" w:cs="Arial"/>
          <w:sz w:val="28"/>
          <w:szCs w:val="28"/>
        </w:rPr>
        <w:t>Αποζημιούσας</w:t>
      </w:r>
      <w:proofErr w:type="spellEnd"/>
      <w:r w:rsidRPr="00F76BDB">
        <w:rPr>
          <w:rFonts w:ascii="Bookman Old Style" w:hAnsi="Bookman Old Style" w:cs="Arial"/>
          <w:sz w:val="28"/>
          <w:szCs w:val="28"/>
        </w:rPr>
        <w:t xml:space="preserve"> Αρχής ότι το τμήμα των ακινήτων που απαλλοτριώθηκε είναι αυτό που θα παραχωρείτο και εγγραφόταν ως δημόσιος δρόμος, και ορθά το πρωτόδικο Δικαστήριο δεν ασχολήθηκε με αυτό ως επίδικο ζήτημα, παρά μόνο προέβη στα ανωτέρω ευρήματα. </w:t>
      </w:r>
    </w:p>
    <w:p w14:paraId="33D56FC2" w14:textId="396B3467"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Με δεδομένη αυτή τη διαπίστωση μας και τα σχετικά ευρήματα του πρωτόδικου Δικαστηρίου, καθίσταται η ανάγκη εξέτασης των λόγων έφεσης ότι λανθασμένα το Δικαστήριο κατέληξε ότι τυγχάνουν εφαρμογής οι πρόνοιες του Κεφ. 96 και του Ν.90/72 και όχι του Ν.15/62.</w:t>
      </w:r>
    </w:p>
    <w:p w14:paraId="1E2D4217" w14:textId="0FDE89C7"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Το πρωτόδικο Δικαστήριο κατέληξε ότι στην υπό κρίση περίπτωση δεν επιβλήθηκαν περιορισμοί</w:t>
      </w:r>
      <w:r w:rsidR="00675D44">
        <w:rPr>
          <w:rFonts w:ascii="Bookman Old Style" w:hAnsi="Bookman Old Style" w:cs="Arial"/>
          <w:sz w:val="28"/>
          <w:szCs w:val="28"/>
        </w:rPr>
        <w:t>,</w:t>
      </w:r>
      <w:r w:rsidRPr="00F76BDB">
        <w:rPr>
          <w:rFonts w:ascii="Bookman Old Style" w:hAnsi="Bookman Old Style" w:cs="Arial"/>
          <w:sz w:val="28"/>
          <w:szCs w:val="28"/>
        </w:rPr>
        <w:t xml:space="preserve"> αλλά όροι στην πολεοδομική άδεια και στην άδεια οικοδομής, οι οποίοι παρείχαν το δικαίωμα απαίτησης για αποζημίωση βάσει του άρθρου 67 του Ν.90/72, η οποία έπρεπε να είχε υποβληθεί εντός έξι μηνών από την ημερομηνία ειδοποίησης της πολεοδομικής απόφασης. </w:t>
      </w:r>
    </w:p>
    <w:p w14:paraId="494D3350" w14:textId="07B83720"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Το πρωτόδικο Δικαστήριο αναφέρθηκε στις υποθέσεις</w:t>
      </w:r>
      <w:r w:rsidRPr="00F76BDB">
        <w:rPr>
          <w:rFonts w:ascii="Bookman Old Style" w:hAnsi="Bookman Old Style" w:cs="Arial"/>
          <w:b/>
          <w:bCs/>
          <w:sz w:val="28"/>
          <w:szCs w:val="28"/>
        </w:rPr>
        <w:t xml:space="preserve"> </w:t>
      </w:r>
      <w:r w:rsidRPr="00F76BDB">
        <w:rPr>
          <w:rFonts w:ascii="Bookman Old Style" w:hAnsi="Bookman Old Style" w:cs="Arial"/>
          <w:b/>
          <w:bCs/>
          <w:i/>
          <w:iCs/>
          <w:sz w:val="28"/>
          <w:szCs w:val="28"/>
        </w:rPr>
        <w:t xml:space="preserve">Γενικός Εισαγγελέας v. </w:t>
      </w:r>
      <w:proofErr w:type="spellStart"/>
      <w:r w:rsidRPr="00F76BDB">
        <w:rPr>
          <w:rFonts w:ascii="Bookman Old Style" w:hAnsi="Bookman Old Style" w:cs="Arial"/>
          <w:b/>
          <w:bCs/>
          <w:i/>
          <w:iCs/>
          <w:sz w:val="28"/>
          <w:szCs w:val="28"/>
        </w:rPr>
        <w:t>Κούλουμου</w:t>
      </w:r>
      <w:proofErr w:type="spellEnd"/>
      <w:r w:rsidRPr="00F76BDB">
        <w:rPr>
          <w:rFonts w:ascii="Bookman Old Style" w:hAnsi="Bookman Old Style" w:cs="Arial"/>
          <w:b/>
          <w:bCs/>
          <w:i/>
          <w:iCs/>
          <w:sz w:val="28"/>
          <w:szCs w:val="28"/>
        </w:rPr>
        <w:t xml:space="preserve"> κ.ά. (2001) 1 Α.Α.Δ. 365</w:t>
      </w:r>
      <w:r w:rsidRPr="00F76BDB">
        <w:rPr>
          <w:rFonts w:ascii="Bookman Old Style" w:hAnsi="Bookman Old Style" w:cs="Arial"/>
          <w:sz w:val="28"/>
          <w:szCs w:val="28"/>
        </w:rPr>
        <w:t xml:space="preserve"> και </w:t>
      </w:r>
      <w:proofErr w:type="spellStart"/>
      <w:r w:rsidRPr="00F76BDB">
        <w:rPr>
          <w:rFonts w:ascii="Bookman Old Style" w:hAnsi="Bookman Old Style" w:cs="Arial"/>
          <w:b/>
          <w:bCs/>
          <w:i/>
          <w:iCs/>
          <w:sz w:val="28"/>
          <w:szCs w:val="28"/>
        </w:rPr>
        <w:t>Γιωργαλλίδου</w:t>
      </w:r>
      <w:proofErr w:type="spellEnd"/>
      <w:r w:rsidRPr="00F76BDB">
        <w:rPr>
          <w:rFonts w:ascii="Bookman Old Style" w:hAnsi="Bookman Old Style" w:cs="Arial"/>
          <w:b/>
          <w:bCs/>
          <w:i/>
          <w:iCs/>
          <w:sz w:val="28"/>
          <w:szCs w:val="28"/>
        </w:rPr>
        <w:t xml:space="preserve"> κ.ά. v. Γενικού Εισαγγελέα (2001) 1 Α.Α.Δ. 373</w:t>
      </w:r>
      <w:r w:rsidRPr="00F76BDB">
        <w:rPr>
          <w:rFonts w:ascii="Bookman Old Style" w:hAnsi="Bookman Old Style" w:cs="Arial"/>
          <w:sz w:val="28"/>
          <w:szCs w:val="28"/>
        </w:rPr>
        <w:t xml:space="preserve">, στις οποίες στηρίχθηκε ο δικηγόρος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Το Δικαστήριο δι</w:t>
      </w:r>
      <w:r w:rsidR="002400B6">
        <w:rPr>
          <w:rFonts w:ascii="Bookman Old Style" w:hAnsi="Bookman Old Style" w:cs="Arial"/>
          <w:sz w:val="28"/>
          <w:szCs w:val="28"/>
        </w:rPr>
        <w:t>έκρινε</w:t>
      </w:r>
      <w:r w:rsidRPr="00F76BDB">
        <w:rPr>
          <w:rFonts w:ascii="Bookman Old Style" w:hAnsi="Bookman Old Style" w:cs="Arial"/>
          <w:sz w:val="28"/>
          <w:szCs w:val="28"/>
        </w:rPr>
        <w:t xml:space="preserve"> τις εν λόγω υποθέσεις από τις υπό κρίση Παραπομπές στη βάση του ότι εκείνες αφορούσαν περιορισμούς και όχι όρους, η μεν πρώτη περιορισμούς με βάση τον περί Αρχαιοτήτων Νόμο</w:t>
      </w:r>
      <w:r w:rsidR="006D41CE">
        <w:rPr>
          <w:rFonts w:ascii="Bookman Old Style" w:hAnsi="Bookman Old Style" w:cs="Arial"/>
          <w:sz w:val="28"/>
          <w:szCs w:val="28"/>
        </w:rPr>
        <w:t>, Κεφ. 31</w:t>
      </w:r>
      <w:r w:rsidRPr="00F76BDB">
        <w:rPr>
          <w:rFonts w:ascii="Bookman Old Style" w:hAnsi="Bookman Old Style" w:cs="Arial"/>
          <w:sz w:val="28"/>
          <w:szCs w:val="28"/>
        </w:rPr>
        <w:t xml:space="preserve">, η </w:t>
      </w:r>
      <w:r w:rsidR="00F92CBE">
        <w:rPr>
          <w:rFonts w:ascii="Bookman Old Style" w:hAnsi="Bookman Old Style" w:cs="Arial"/>
          <w:sz w:val="28"/>
          <w:szCs w:val="28"/>
        </w:rPr>
        <w:t xml:space="preserve">δε </w:t>
      </w:r>
      <w:r w:rsidRPr="00F76BDB">
        <w:rPr>
          <w:rFonts w:ascii="Bookman Old Style" w:hAnsi="Bookman Old Style" w:cs="Arial"/>
          <w:sz w:val="28"/>
          <w:szCs w:val="28"/>
        </w:rPr>
        <w:t xml:space="preserve">δεύτερη δεσμευτική ρυμοτομία. Το Δικαστήριο επισήμανε ότι οι περιορισμοί στις εν λόγω υποθέσεις επιβλήθηκαν δια νόμου και εμπόδιζαν τους ιδιοκτήτες γης να εκμεταλλευθούν ελεύθερα τα ακίνητα τους, </w:t>
      </w:r>
      <w:proofErr w:type="spellStart"/>
      <w:r w:rsidRPr="00F76BDB">
        <w:rPr>
          <w:rFonts w:ascii="Bookman Old Style" w:hAnsi="Bookman Old Style" w:cs="Arial"/>
          <w:sz w:val="28"/>
          <w:szCs w:val="28"/>
        </w:rPr>
        <w:t>εξο</w:t>
      </w:r>
      <w:r w:rsidR="005C4250">
        <w:rPr>
          <w:rFonts w:ascii="Bookman Old Style" w:hAnsi="Bookman Old Style" w:cs="Arial"/>
          <w:sz w:val="28"/>
          <w:szCs w:val="28"/>
        </w:rPr>
        <w:t>ύ</w:t>
      </w:r>
      <w:proofErr w:type="spellEnd"/>
      <w:r w:rsidRPr="00F76BDB">
        <w:rPr>
          <w:rFonts w:ascii="Bookman Old Style" w:hAnsi="Bookman Old Style" w:cs="Arial"/>
          <w:sz w:val="28"/>
          <w:szCs w:val="28"/>
        </w:rPr>
        <w:t xml:space="preserve"> και κρίθηκε ότι αυτοί (οι περιορισμοί) ενέπιπταν εντός του άρθρου 10(η) του Ν</w:t>
      </w:r>
      <w:r w:rsidR="00E17817">
        <w:rPr>
          <w:rFonts w:ascii="Bookman Old Style" w:hAnsi="Bookman Old Style" w:cs="Arial"/>
          <w:sz w:val="28"/>
          <w:szCs w:val="28"/>
        </w:rPr>
        <w:t>.</w:t>
      </w:r>
      <w:r w:rsidRPr="00F76BDB">
        <w:rPr>
          <w:rFonts w:ascii="Bookman Old Style" w:hAnsi="Bookman Old Style" w:cs="Arial"/>
          <w:sz w:val="28"/>
          <w:szCs w:val="28"/>
        </w:rPr>
        <w:t xml:space="preserve">15/62. </w:t>
      </w:r>
    </w:p>
    <w:p w14:paraId="31B65E6D" w14:textId="2E461CE8" w:rsidR="00F76BDB" w:rsidRPr="00F76BDB" w:rsidRDefault="009D67C6" w:rsidP="009D67C6">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00F76BDB" w:rsidRPr="00F76BDB">
        <w:rPr>
          <w:rFonts w:ascii="Bookman Old Style" w:hAnsi="Bookman Old Style" w:cs="Arial"/>
          <w:sz w:val="28"/>
          <w:szCs w:val="28"/>
        </w:rPr>
        <w:t xml:space="preserve">Ο δικηγόρος της </w:t>
      </w:r>
      <w:proofErr w:type="spellStart"/>
      <w:r w:rsidR="00F76BDB" w:rsidRPr="00F76BDB">
        <w:rPr>
          <w:rFonts w:ascii="Bookman Old Style" w:hAnsi="Bookman Old Style" w:cs="Arial"/>
          <w:sz w:val="28"/>
          <w:szCs w:val="28"/>
        </w:rPr>
        <w:t>Εφεσείουσας</w:t>
      </w:r>
      <w:proofErr w:type="spellEnd"/>
      <w:r w:rsidR="00F76BDB" w:rsidRPr="00F76BDB">
        <w:rPr>
          <w:rFonts w:ascii="Bookman Old Style" w:hAnsi="Bookman Old Style" w:cs="Arial"/>
          <w:sz w:val="28"/>
          <w:szCs w:val="28"/>
        </w:rPr>
        <w:t xml:space="preserve"> επανέλαβε την ίδια θέση και ενώπιον μας, με παραπομπή στην ίδια νομολογία. Θεωρούμε καθόλα ορθή τη διάκριση στην οποία προέβη το πρωτόδικο Δικαστήριο καθότι οι υπό κρίση Παραπομπές αφορούν σε αίτημα της </w:t>
      </w:r>
      <w:proofErr w:type="spellStart"/>
      <w:r w:rsidR="00F76BDB" w:rsidRPr="00F76BDB">
        <w:rPr>
          <w:rFonts w:ascii="Bookman Old Style" w:hAnsi="Bookman Old Style" w:cs="Arial"/>
          <w:sz w:val="28"/>
          <w:szCs w:val="28"/>
        </w:rPr>
        <w:t>Εφεσείουσας</w:t>
      </w:r>
      <w:proofErr w:type="spellEnd"/>
      <w:r w:rsidR="00F76BDB" w:rsidRPr="00F76BDB">
        <w:rPr>
          <w:rFonts w:ascii="Bookman Old Style" w:hAnsi="Bookman Old Style" w:cs="Arial"/>
          <w:sz w:val="28"/>
          <w:szCs w:val="28"/>
        </w:rPr>
        <w:t xml:space="preserve"> και έγκριση αυτού με την έκδοση άδειας στην οποία είχαν υποβληθεί όροι τους οποίους μάλιστα η </w:t>
      </w:r>
      <w:proofErr w:type="spellStart"/>
      <w:r w:rsidR="00F76BDB" w:rsidRPr="00F76BDB">
        <w:rPr>
          <w:rFonts w:ascii="Bookman Old Style" w:hAnsi="Bookman Old Style" w:cs="Arial"/>
          <w:sz w:val="28"/>
          <w:szCs w:val="28"/>
        </w:rPr>
        <w:t>Εφεσείουσα</w:t>
      </w:r>
      <w:proofErr w:type="spellEnd"/>
      <w:r w:rsidR="00F76BDB" w:rsidRPr="00F76BDB">
        <w:rPr>
          <w:rFonts w:ascii="Bookman Old Style" w:hAnsi="Bookman Old Style" w:cs="Arial"/>
          <w:sz w:val="28"/>
          <w:szCs w:val="28"/>
        </w:rPr>
        <w:t xml:space="preserve"> </w:t>
      </w:r>
      <w:proofErr w:type="spellStart"/>
      <w:r w:rsidR="00F76BDB" w:rsidRPr="00F76BDB">
        <w:rPr>
          <w:rFonts w:ascii="Bookman Old Style" w:hAnsi="Bookman Old Style" w:cs="Arial"/>
          <w:sz w:val="28"/>
          <w:szCs w:val="28"/>
        </w:rPr>
        <w:t>απεδέχθη</w:t>
      </w:r>
      <w:proofErr w:type="spellEnd"/>
      <w:r w:rsidR="00F76BDB" w:rsidRPr="00F76BDB">
        <w:rPr>
          <w:rFonts w:ascii="Bookman Old Style" w:hAnsi="Bookman Old Style" w:cs="Arial"/>
          <w:sz w:val="28"/>
          <w:szCs w:val="28"/>
        </w:rPr>
        <w:t xml:space="preserve"> και ενήργησε δυνάμει αυτών. Αυτή ακριβώς τη διαφοροποίηση επισήμανε το Ανώτατο Δικαστήριο στην υπόθεση </w:t>
      </w:r>
      <w:proofErr w:type="spellStart"/>
      <w:r w:rsidR="00F76BDB" w:rsidRPr="00F76BDB">
        <w:rPr>
          <w:rFonts w:ascii="Bookman Old Style" w:hAnsi="Bookman Old Style" w:cs="Arial"/>
          <w:b/>
          <w:bCs/>
          <w:i/>
          <w:iCs/>
          <w:sz w:val="28"/>
          <w:szCs w:val="28"/>
        </w:rPr>
        <w:t>Μακροσέλλη</w:t>
      </w:r>
      <w:proofErr w:type="spellEnd"/>
      <w:r w:rsidR="00F76BDB" w:rsidRPr="00F76BDB">
        <w:rPr>
          <w:rFonts w:ascii="Bookman Old Style" w:hAnsi="Bookman Old Style" w:cs="Arial"/>
          <w:b/>
          <w:bCs/>
          <w:i/>
          <w:iCs/>
          <w:sz w:val="28"/>
          <w:szCs w:val="28"/>
        </w:rPr>
        <w:t xml:space="preserve"> κ.ά. v. Δημοκρατίας, Πολ. </w:t>
      </w:r>
      <w:proofErr w:type="spellStart"/>
      <w:r w:rsidR="00F76BDB" w:rsidRPr="00F76BDB">
        <w:rPr>
          <w:rFonts w:ascii="Bookman Old Style" w:hAnsi="Bookman Old Style" w:cs="Arial"/>
          <w:b/>
          <w:bCs/>
          <w:i/>
          <w:iCs/>
          <w:sz w:val="28"/>
          <w:szCs w:val="28"/>
        </w:rPr>
        <w:t>Έφ</w:t>
      </w:r>
      <w:proofErr w:type="spellEnd"/>
      <w:r w:rsidR="00F76BDB" w:rsidRPr="00F76BDB">
        <w:rPr>
          <w:rFonts w:ascii="Bookman Old Style" w:hAnsi="Bookman Old Style" w:cs="Arial"/>
          <w:b/>
          <w:bCs/>
          <w:i/>
          <w:iCs/>
          <w:sz w:val="28"/>
          <w:szCs w:val="28"/>
        </w:rPr>
        <w:t xml:space="preserve">. </w:t>
      </w:r>
      <w:proofErr w:type="spellStart"/>
      <w:r w:rsidR="00A553D9">
        <w:rPr>
          <w:rFonts w:ascii="Bookman Old Style" w:hAnsi="Bookman Old Style" w:cs="Arial"/>
          <w:b/>
          <w:bCs/>
          <w:i/>
          <w:iCs/>
          <w:sz w:val="28"/>
          <w:szCs w:val="28"/>
        </w:rPr>
        <w:t>Αρ</w:t>
      </w:r>
      <w:proofErr w:type="spellEnd"/>
      <w:r w:rsidR="00A553D9">
        <w:rPr>
          <w:rFonts w:ascii="Bookman Old Style" w:hAnsi="Bookman Old Style" w:cs="Arial"/>
          <w:b/>
          <w:bCs/>
          <w:i/>
          <w:iCs/>
          <w:sz w:val="28"/>
          <w:szCs w:val="28"/>
        </w:rPr>
        <w:t xml:space="preserve">. </w:t>
      </w:r>
      <w:r w:rsidR="00F76BDB" w:rsidRPr="00F76BDB">
        <w:rPr>
          <w:rFonts w:ascii="Bookman Old Style" w:hAnsi="Bookman Old Style" w:cs="Arial"/>
          <w:b/>
          <w:bCs/>
          <w:i/>
          <w:iCs/>
          <w:sz w:val="28"/>
          <w:szCs w:val="28"/>
        </w:rPr>
        <w:t xml:space="preserve">268/2010, </w:t>
      </w:r>
      <w:proofErr w:type="spellStart"/>
      <w:r w:rsidR="00F76BDB" w:rsidRPr="00F76BDB">
        <w:rPr>
          <w:rFonts w:ascii="Bookman Old Style" w:hAnsi="Bookman Old Style" w:cs="Arial"/>
          <w:b/>
          <w:bCs/>
          <w:i/>
          <w:iCs/>
          <w:sz w:val="28"/>
          <w:szCs w:val="28"/>
        </w:rPr>
        <w:t>ημερ</w:t>
      </w:r>
      <w:proofErr w:type="spellEnd"/>
      <w:r w:rsidR="00F76BDB" w:rsidRPr="00F76BDB">
        <w:rPr>
          <w:rFonts w:ascii="Bookman Old Style" w:hAnsi="Bookman Old Style" w:cs="Arial"/>
          <w:b/>
          <w:bCs/>
          <w:i/>
          <w:iCs/>
          <w:sz w:val="28"/>
          <w:szCs w:val="28"/>
        </w:rPr>
        <w:t>. 3.3.2017</w:t>
      </w:r>
      <w:r w:rsidR="00F76BDB" w:rsidRPr="00F76BDB">
        <w:rPr>
          <w:rFonts w:ascii="Bookman Old Style" w:hAnsi="Bookman Old Style" w:cs="Arial"/>
          <w:sz w:val="28"/>
          <w:szCs w:val="28"/>
        </w:rPr>
        <w:t xml:space="preserve">, η οποία αφορούσε παρόμοια γεγονότα με την παρούσα περίπτωση. Στην εν λόγω υπόθεση η </w:t>
      </w:r>
      <w:proofErr w:type="spellStart"/>
      <w:r w:rsidR="00F76BDB" w:rsidRPr="00F76BDB">
        <w:rPr>
          <w:rFonts w:ascii="Bookman Old Style" w:hAnsi="Bookman Old Style" w:cs="Arial"/>
          <w:sz w:val="28"/>
          <w:szCs w:val="28"/>
        </w:rPr>
        <w:t>εφεσείουσα</w:t>
      </w:r>
      <w:proofErr w:type="spellEnd"/>
      <w:r w:rsidR="00F76BDB" w:rsidRPr="00F76BDB">
        <w:rPr>
          <w:rFonts w:ascii="Bookman Old Style" w:hAnsi="Bookman Old Style" w:cs="Arial"/>
          <w:sz w:val="28"/>
          <w:szCs w:val="28"/>
        </w:rPr>
        <w:t xml:space="preserve"> έλαβε άδεια οικοδομής για αλλαγή χρήσης της οικοδομής της, στην οποία τέθηκε όρος για την παραχώρηση τμημάτων του τεμαχίου τα οποία επηρεάζονται από τη ρυμοτομία στο δημόσιο και θα αποτελούν τμήμα του δημόσιου δρόμου. Ανάλογος όρος τέθηκε και στην πολεοδομική άδεια που εκδόθηκε μεταγενέστερα.</w:t>
      </w:r>
      <w:r w:rsidR="00403D15">
        <w:rPr>
          <w:rFonts w:ascii="Bookman Old Style" w:hAnsi="Bookman Old Style" w:cs="Arial"/>
          <w:sz w:val="28"/>
          <w:szCs w:val="28"/>
        </w:rPr>
        <w:t xml:space="preserve"> </w:t>
      </w:r>
      <w:r w:rsidR="00F76BDB" w:rsidRPr="00F76BDB">
        <w:rPr>
          <w:rFonts w:ascii="Bookman Old Style" w:hAnsi="Bookman Old Style" w:cs="Arial"/>
          <w:sz w:val="28"/>
          <w:szCs w:val="28"/>
        </w:rPr>
        <w:t xml:space="preserve">Οι άδειες υλοποιήθηκαν, πλην όμως δεν είχε υποβληθεί αίτηση για ανανέωση των αδειών και στο τέλος δεν εκδόθηκε πιστοποιητικό τελικής έγκρισης. Η </w:t>
      </w:r>
      <w:proofErr w:type="spellStart"/>
      <w:r w:rsidR="00F76BDB" w:rsidRPr="00F76BDB">
        <w:rPr>
          <w:rFonts w:ascii="Bookman Old Style" w:hAnsi="Bookman Old Style" w:cs="Arial"/>
          <w:sz w:val="28"/>
          <w:szCs w:val="28"/>
        </w:rPr>
        <w:t>εφεσείουσα</w:t>
      </w:r>
      <w:proofErr w:type="spellEnd"/>
      <w:r w:rsidR="00F76BDB" w:rsidRPr="00F76BDB">
        <w:rPr>
          <w:rFonts w:ascii="Bookman Old Style" w:hAnsi="Bookman Old Style" w:cs="Arial"/>
          <w:sz w:val="28"/>
          <w:szCs w:val="28"/>
        </w:rPr>
        <w:t xml:space="preserve"> διεκδίκησε αποζημιώσεις λόγω της απαλλοτρίωσης και ηγέρθη το ερώτημα κατά πόσο η αρχή της </w:t>
      </w:r>
      <w:proofErr w:type="spellStart"/>
      <w:r w:rsidR="00F76BDB" w:rsidRPr="00F76BDB">
        <w:rPr>
          <w:rFonts w:ascii="Bookman Old Style" w:hAnsi="Bookman Old Style" w:cs="Arial"/>
          <w:b/>
          <w:bCs/>
          <w:i/>
          <w:iCs/>
          <w:sz w:val="28"/>
          <w:szCs w:val="28"/>
        </w:rPr>
        <w:t>Γεωργαλλίδου</w:t>
      </w:r>
      <w:proofErr w:type="spellEnd"/>
      <w:r w:rsidR="00F76BDB" w:rsidRPr="00F76BDB">
        <w:rPr>
          <w:rFonts w:ascii="Bookman Old Style" w:hAnsi="Bookman Old Style" w:cs="Arial"/>
          <w:sz w:val="28"/>
          <w:szCs w:val="28"/>
        </w:rPr>
        <w:t xml:space="preserve"> (ανωτέρω) θα μπορούσε να δίδει δικαίωμα στον ιδιοκτήτη έκτασης που παραχωρήθηκε στη ρυμοτομία στο παρελθόν και ακολούθως απαλλοτριώθηκε να μην διεκδικεί αποζημιώσεις δυνάμει του άρθρο</w:t>
      </w:r>
      <w:r w:rsidR="001B7061">
        <w:rPr>
          <w:rFonts w:ascii="Bookman Old Style" w:hAnsi="Bookman Old Style" w:cs="Arial"/>
          <w:sz w:val="28"/>
          <w:szCs w:val="28"/>
        </w:rPr>
        <w:t>υ</w:t>
      </w:r>
      <w:r w:rsidR="00F76BDB" w:rsidRPr="00F76BDB">
        <w:rPr>
          <w:rFonts w:ascii="Bookman Old Style" w:hAnsi="Bookman Old Style" w:cs="Arial"/>
          <w:sz w:val="28"/>
          <w:szCs w:val="28"/>
        </w:rPr>
        <w:t xml:space="preserve"> 13(1) του Κεφ. 96 ή του άρθρου 68 του Ν.90/72 αλλά να προσφύγει στο Δικαστήριο και να διεκδικεί αποζημίωση λόγω της απαλλοτρίωσης. Το Ανώτατο Δικαστήριο αποφάσισε ότι αυτή η πτυχή δεν συζητήθηκε στη </w:t>
      </w:r>
      <w:proofErr w:type="spellStart"/>
      <w:r w:rsidR="00F76BDB" w:rsidRPr="001B7061">
        <w:rPr>
          <w:rFonts w:ascii="Bookman Old Style" w:hAnsi="Bookman Old Style" w:cs="Arial"/>
          <w:b/>
          <w:bCs/>
          <w:i/>
          <w:iCs/>
          <w:sz w:val="28"/>
          <w:szCs w:val="28"/>
        </w:rPr>
        <w:t>Γεωργαλλίδου</w:t>
      </w:r>
      <w:proofErr w:type="spellEnd"/>
      <w:r w:rsidR="00F76BDB" w:rsidRPr="00F76BDB">
        <w:rPr>
          <w:rFonts w:ascii="Bookman Old Style" w:hAnsi="Bookman Old Style" w:cs="Arial"/>
          <w:sz w:val="28"/>
          <w:szCs w:val="28"/>
        </w:rPr>
        <w:t xml:space="preserve"> και μάλιστα η ευρύτητα της εν λόγω απόφασης περιορίστηκε στην υπόθεση </w:t>
      </w:r>
      <w:r w:rsidR="00F76BDB" w:rsidRPr="001B7061">
        <w:rPr>
          <w:rFonts w:ascii="Bookman Old Style" w:hAnsi="Bookman Old Style" w:cs="Arial"/>
          <w:b/>
          <w:bCs/>
          <w:i/>
          <w:iCs/>
          <w:sz w:val="28"/>
          <w:szCs w:val="28"/>
        </w:rPr>
        <w:t xml:space="preserve">Μιχαηλίδου </w:t>
      </w:r>
      <w:r w:rsidR="00F76BDB" w:rsidRPr="001B7061">
        <w:rPr>
          <w:rFonts w:ascii="Bookman Old Style" w:hAnsi="Bookman Old Style" w:cs="Arial"/>
          <w:b/>
          <w:bCs/>
          <w:i/>
          <w:iCs/>
          <w:sz w:val="28"/>
          <w:szCs w:val="28"/>
          <w:lang w:val="en-GB"/>
        </w:rPr>
        <w:t>v</w:t>
      </w:r>
      <w:r w:rsidR="00F76BDB" w:rsidRPr="001B7061">
        <w:rPr>
          <w:rFonts w:ascii="Bookman Old Style" w:hAnsi="Bookman Old Style" w:cs="Arial"/>
          <w:b/>
          <w:bCs/>
          <w:i/>
          <w:iCs/>
          <w:sz w:val="28"/>
          <w:szCs w:val="28"/>
        </w:rPr>
        <w:t>. Γενικού Εισαγγελέα (2005) 1 Α.Α.Δ. 657</w:t>
      </w:r>
      <w:r w:rsidR="00F76BDB" w:rsidRPr="00F76BDB">
        <w:rPr>
          <w:rFonts w:ascii="Bookman Old Style" w:hAnsi="Bookman Old Style" w:cs="Arial"/>
          <w:sz w:val="28"/>
          <w:szCs w:val="28"/>
        </w:rPr>
        <w:t>,</w:t>
      </w:r>
      <w:r w:rsidR="00F76BDB" w:rsidRPr="00F76BDB">
        <w:rPr>
          <w:rFonts w:ascii="Bookman Old Style" w:hAnsi="Bookman Old Style" w:cs="Arial"/>
          <w:color w:val="000000"/>
          <w:sz w:val="28"/>
          <w:szCs w:val="28"/>
        </w:rPr>
        <w:t xml:space="preserve"> όπου η δεσμευτική ρυμοτομία είχε ήδη εγγραφεί ως δημόσιος δρόμος και η έκταση της αφαιρέθηκε με την έκδοση του νέου τίτλου με αποτέλεσμα, όπως αποφασίστηκε, κατά τον χρόνο της γνωστοποίησης της απαλλοτρίωσης να μην υπήρχε περιορισμός εν τη </w:t>
      </w:r>
      <w:proofErr w:type="spellStart"/>
      <w:r w:rsidR="00F76BDB" w:rsidRPr="00F76BDB">
        <w:rPr>
          <w:rFonts w:ascii="Bookman Old Style" w:hAnsi="Bookman Old Style" w:cs="Arial"/>
          <w:color w:val="000000"/>
          <w:sz w:val="28"/>
          <w:szCs w:val="28"/>
        </w:rPr>
        <w:t>εννοία</w:t>
      </w:r>
      <w:proofErr w:type="spellEnd"/>
      <w:r w:rsidR="00F76BDB" w:rsidRPr="00F76BDB">
        <w:rPr>
          <w:rFonts w:ascii="Bookman Old Style" w:hAnsi="Bookman Old Style" w:cs="Arial"/>
          <w:color w:val="000000"/>
          <w:sz w:val="28"/>
          <w:szCs w:val="28"/>
        </w:rPr>
        <w:t xml:space="preserve"> του άρθρου 10(η) του Ν</w:t>
      </w:r>
      <w:r w:rsidR="00416E54">
        <w:rPr>
          <w:rFonts w:ascii="Bookman Old Style" w:hAnsi="Bookman Old Style" w:cs="Arial"/>
          <w:color w:val="000000"/>
          <w:sz w:val="28"/>
          <w:szCs w:val="28"/>
        </w:rPr>
        <w:t>.15/62</w:t>
      </w:r>
      <w:r w:rsidR="00F76BDB" w:rsidRPr="00F76BDB">
        <w:rPr>
          <w:rFonts w:ascii="Bookman Old Style" w:hAnsi="Bookman Old Style" w:cs="Arial"/>
          <w:color w:val="000000"/>
          <w:sz w:val="28"/>
          <w:szCs w:val="28"/>
        </w:rPr>
        <w:t>.</w:t>
      </w:r>
      <w:r w:rsidR="00F76BDB" w:rsidRPr="00F76BDB">
        <w:rPr>
          <w:rFonts w:ascii="Bookman Old Style" w:hAnsi="Bookman Old Style" w:cs="Arial"/>
          <w:sz w:val="28"/>
          <w:szCs w:val="28"/>
        </w:rPr>
        <w:t xml:space="preserve"> Το Ανώτατο Δικαστήριο ανέφερε ότι η άδεια οικοδομής και η πολεοδομική άδεια είχαν υλοποιηθεί και το μέρος των τεμαχίων που επηρεάστηκε από τη ρυμοτομία είχε διαμορφωθεί, προσθέτοντας ότι το γεγονός της μη έκδοσης πιστοποιητικού τελικής έγκρισης δεν διαφοροποιεί την περίπτωση από την υπόθεση </w:t>
      </w:r>
      <w:r w:rsidR="00F76BDB" w:rsidRPr="001B7061">
        <w:rPr>
          <w:rFonts w:ascii="Bookman Old Style" w:hAnsi="Bookman Old Style" w:cs="Arial"/>
          <w:b/>
          <w:bCs/>
          <w:i/>
          <w:iCs/>
          <w:sz w:val="28"/>
          <w:szCs w:val="28"/>
        </w:rPr>
        <w:t>Μιχαηλίδου</w:t>
      </w:r>
      <w:r w:rsidR="00F76BDB" w:rsidRPr="00F76BDB">
        <w:rPr>
          <w:rFonts w:ascii="Bookman Old Style" w:hAnsi="Bookman Old Style" w:cs="Arial"/>
          <w:sz w:val="28"/>
          <w:szCs w:val="28"/>
        </w:rPr>
        <w:t xml:space="preserve"> (ανωτέρω). Ως εκ τούτου το Ανώτατο κατέληξε ότι αφ’ ης στιγμής η ρυμοτομία υλοποιηθεί, δεν υπάρχει κατά τον χρόνο της απαλλοτρίωσης ο περιορισμός του άρθρου 10(η), ώστε αυτό να βρίσκει πλέον εφαρμογή. Βεβαίως το Δικαστήριο επισήμανε ότι παρέχεται το δικαίωμα αποζημίωσης δυνάμει του άρθρου 10(η) του Ν.15/62 ως βλάβη εκ της ρυμοτομίας και όχι ως αποζημίωση με βάση την αγοραία αξία κατά τον χρόνο της απαλλοτρίωσης. </w:t>
      </w:r>
    </w:p>
    <w:p w14:paraId="3BF871AE" w14:textId="452DEFB6" w:rsidR="00C94309"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Οι ίδιες αρχές υιοθετήθηκαν στις υποθέσεις </w:t>
      </w:r>
      <w:r w:rsidRPr="001B7061">
        <w:rPr>
          <w:rFonts w:ascii="Bookman Old Style" w:hAnsi="Bookman Old Style" w:cs="Arial"/>
          <w:b/>
          <w:bCs/>
          <w:i/>
          <w:iCs/>
          <w:sz w:val="28"/>
          <w:szCs w:val="28"/>
        </w:rPr>
        <w:t xml:space="preserve">Δημοκρατία v. Χαραλαμπίδη, Πολ. </w:t>
      </w:r>
      <w:proofErr w:type="spellStart"/>
      <w:r w:rsidRPr="001B7061">
        <w:rPr>
          <w:rFonts w:ascii="Bookman Old Style" w:hAnsi="Bookman Old Style" w:cs="Arial"/>
          <w:b/>
          <w:bCs/>
          <w:i/>
          <w:iCs/>
          <w:sz w:val="28"/>
          <w:szCs w:val="28"/>
        </w:rPr>
        <w:t>Έφ</w:t>
      </w:r>
      <w:proofErr w:type="spellEnd"/>
      <w:r w:rsidRPr="001B7061">
        <w:rPr>
          <w:rFonts w:ascii="Bookman Old Style" w:hAnsi="Bookman Old Style" w:cs="Arial"/>
          <w:b/>
          <w:bCs/>
          <w:i/>
          <w:iCs/>
          <w:sz w:val="28"/>
          <w:szCs w:val="28"/>
        </w:rPr>
        <w:t xml:space="preserve">. </w:t>
      </w:r>
      <w:proofErr w:type="spellStart"/>
      <w:r w:rsidR="009267D0">
        <w:rPr>
          <w:rFonts w:ascii="Bookman Old Style" w:hAnsi="Bookman Old Style" w:cs="Arial"/>
          <w:b/>
          <w:bCs/>
          <w:i/>
          <w:iCs/>
          <w:sz w:val="28"/>
          <w:szCs w:val="28"/>
        </w:rPr>
        <w:t>Αρ</w:t>
      </w:r>
      <w:proofErr w:type="spellEnd"/>
      <w:r w:rsidR="009267D0">
        <w:rPr>
          <w:rFonts w:ascii="Bookman Old Style" w:hAnsi="Bookman Old Style" w:cs="Arial"/>
          <w:b/>
          <w:bCs/>
          <w:i/>
          <w:iCs/>
          <w:sz w:val="28"/>
          <w:szCs w:val="28"/>
        </w:rPr>
        <w:t xml:space="preserve">. </w:t>
      </w:r>
      <w:r w:rsidRPr="001B7061">
        <w:rPr>
          <w:rFonts w:ascii="Bookman Old Style" w:hAnsi="Bookman Old Style" w:cs="Arial"/>
          <w:b/>
          <w:bCs/>
          <w:i/>
          <w:iCs/>
          <w:sz w:val="28"/>
          <w:szCs w:val="28"/>
        </w:rPr>
        <w:t xml:space="preserve">120/2011, </w:t>
      </w:r>
      <w:proofErr w:type="spellStart"/>
      <w:r w:rsidRPr="001B7061">
        <w:rPr>
          <w:rFonts w:ascii="Bookman Old Style" w:hAnsi="Bookman Old Style" w:cs="Arial"/>
          <w:b/>
          <w:bCs/>
          <w:i/>
          <w:iCs/>
          <w:sz w:val="28"/>
          <w:szCs w:val="28"/>
        </w:rPr>
        <w:t>ημερ</w:t>
      </w:r>
      <w:proofErr w:type="spellEnd"/>
      <w:r w:rsidRPr="001B7061">
        <w:rPr>
          <w:rFonts w:ascii="Bookman Old Style" w:hAnsi="Bookman Old Style" w:cs="Arial"/>
          <w:b/>
          <w:bCs/>
          <w:i/>
          <w:iCs/>
          <w:sz w:val="28"/>
          <w:szCs w:val="28"/>
        </w:rPr>
        <w:t xml:space="preserve">. 30.5.2017, Γενικός Εισαγγελέας v. </w:t>
      </w:r>
      <w:proofErr w:type="spellStart"/>
      <w:r w:rsidRPr="001B7061">
        <w:rPr>
          <w:rFonts w:ascii="Bookman Old Style" w:hAnsi="Bookman Old Style" w:cs="Arial"/>
          <w:b/>
          <w:bCs/>
          <w:i/>
          <w:iCs/>
          <w:sz w:val="28"/>
          <w:szCs w:val="28"/>
        </w:rPr>
        <w:t>Κουλλουππά</w:t>
      </w:r>
      <w:proofErr w:type="spellEnd"/>
      <w:r w:rsidRPr="001B7061">
        <w:rPr>
          <w:rFonts w:ascii="Bookman Old Style" w:hAnsi="Bookman Old Style" w:cs="Arial"/>
          <w:b/>
          <w:bCs/>
          <w:i/>
          <w:iCs/>
          <w:sz w:val="28"/>
          <w:szCs w:val="28"/>
        </w:rPr>
        <w:t xml:space="preserve">, Πολ. </w:t>
      </w:r>
      <w:proofErr w:type="spellStart"/>
      <w:r w:rsidRPr="001B7061">
        <w:rPr>
          <w:rFonts w:ascii="Bookman Old Style" w:hAnsi="Bookman Old Style" w:cs="Arial"/>
          <w:b/>
          <w:bCs/>
          <w:i/>
          <w:iCs/>
          <w:sz w:val="28"/>
          <w:szCs w:val="28"/>
        </w:rPr>
        <w:t>Έφ</w:t>
      </w:r>
      <w:proofErr w:type="spellEnd"/>
      <w:r w:rsidRPr="001B7061">
        <w:rPr>
          <w:rFonts w:ascii="Bookman Old Style" w:hAnsi="Bookman Old Style" w:cs="Arial"/>
          <w:b/>
          <w:bCs/>
          <w:i/>
          <w:iCs/>
          <w:sz w:val="28"/>
          <w:szCs w:val="28"/>
        </w:rPr>
        <w:t xml:space="preserve">. </w:t>
      </w:r>
      <w:proofErr w:type="spellStart"/>
      <w:r w:rsidR="009267D0">
        <w:rPr>
          <w:rFonts w:ascii="Bookman Old Style" w:hAnsi="Bookman Old Style" w:cs="Arial"/>
          <w:b/>
          <w:bCs/>
          <w:i/>
          <w:iCs/>
          <w:sz w:val="28"/>
          <w:szCs w:val="28"/>
        </w:rPr>
        <w:t>Αρ</w:t>
      </w:r>
      <w:proofErr w:type="spellEnd"/>
      <w:r w:rsidR="009267D0">
        <w:rPr>
          <w:rFonts w:ascii="Bookman Old Style" w:hAnsi="Bookman Old Style" w:cs="Arial"/>
          <w:b/>
          <w:bCs/>
          <w:i/>
          <w:iCs/>
          <w:sz w:val="28"/>
          <w:szCs w:val="28"/>
        </w:rPr>
        <w:t xml:space="preserve">. </w:t>
      </w:r>
      <w:r w:rsidRPr="001B7061">
        <w:rPr>
          <w:rFonts w:ascii="Bookman Old Style" w:hAnsi="Bookman Old Style" w:cs="Arial"/>
          <w:b/>
          <w:bCs/>
          <w:i/>
          <w:iCs/>
          <w:sz w:val="28"/>
          <w:szCs w:val="28"/>
        </w:rPr>
        <w:t xml:space="preserve">4/14, </w:t>
      </w:r>
      <w:proofErr w:type="spellStart"/>
      <w:r w:rsidRPr="001B7061">
        <w:rPr>
          <w:rFonts w:ascii="Bookman Old Style" w:hAnsi="Bookman Old Style" w:cs="Arial"/>
          <w:b/>
          <w:bCs/>
          <w:i/>
          <w:iCs/>
          <w:sz w:val="28"/>
          <w:szCs w:val="28"/>
        </w:rPr>
        <w:t>ημερ</w:t>
      </w:r>
      <w:proofErr w:type="spellEnd"/>
      <w:r w:rsidRPr="001B7061">
        <w:rPr>
          <w:rFonts w:ascii="Bookman Old Style" w:hAnsi="Bookman Old Style" w:cs="Arial"/>
          <w:b/>
          <w:bCs/>
          <w:i/>
          <w:iCs/>
          <w:sz w:val="28"/>
          <w:szCs w:val="28"/>
        </w:rPr>
        <w:t>. 12.2.2020</w:t>
      </w:r>
      <w:r w:rsidRPr="00F76BDB">
        <w:rPr>
          <w:rFonts w:ascii="Bookman Old Style" w:hAnsi="Bookman Old Style" w:cs="Arial"/>
          <w:sz w:val="28"/>
          <w:szCs w:val="28"/>
        </w:rPr>
        <w:t xml:space="preserve"> και στην πρόσφατη υπόθεση </w:t>
      </w:r>
      <w:proofErr w:type="spellStart"/>
      <w:r w:rsidRPr="001B7061">
        <w:rPr>
          <w:rFonts w:ascii="Bookman Old Style" w:hAnsi="Bookman Old Style" w:cs="Arial"/>
          <w:b/>
          <w:bCs/>
          <w:i/>
          <w:iCs/>
          <w:sz w:val="28"/>
          <w:szCs w:val="28"/>
        </w:rPr>
        <w:t>Κασιουρή</w:t>
      </w:r>
      <w:proofErr w:type="spellEnd"/>
      <w:r w:rsidRPr="001B7061">
        <w:rPr>
          <w:rFonts w:ascii="Bookman Old Style" w:hAnsi="Bookman Old Style" w:cs="Arial"/>
          <w:b/>
          <w:bCs/>
          <w:i/>
          <w:iCs/>
          <w:sz w:val="28"/>
          <w:szCs w:val="28"/>
        </w:rPr>
        <w:t xml:space="preserve"> κ.ά. </w:t>
      </w:r>
      <w:r w:rsidRPr="001B7061">
        <w:rPr>
          <w:rFonts w:ascii="Bookman Old Style" w:hAnsi="Bookman Old Style" w:cs="Arial"/>
          <w:b/>
          <w:bCs/>
          <w:i/>
          <w:iCs/>
          <w:sz w:val="28"/>
          <w:szCs w:val="28"/>
          <w:lang w:val="en-GB"/>
        </w:rPr>
        <w:t>v</w:t>
      </w:r>
      <w:r w:rsidRPr="001B7061">
        <w:rPr>
          <w:rFonts w:ascii="Bookman Old Style" w:hAnsi="Bookman Old Style" w:cs="Arial"/>
          <w:b/>
          <w:bCs/>
          <w:i/>
          <w:iCs/>
          <w:sz w:val="28"/>
          <w:szCs w:val="28"/>
        </w:rPr>
        <w:t xml:space="preserve">. Δημοκρατίας, Πολ. </w:t>
      </w:r>
      <w:proofErr w:type="spellStart"/>
      <w:r w:rsidRPr="001B7061">
        <w:rPr>
          <w:rFonts w:ascii="Bookman Old Style" w:hAnsi="Bookman Old Style" w:cs="Arial"/>
          <w:b/>
          <w:bCs/>
          <w:i/>
          <w:iCs/>
          <w:sz w:val="28"/>
          <w:szCs w:val="28"/>
        </w:rPr>
        <w:t>Έφ</w:t>
      </w:r>
      <w:proofErr w:type="spellEnd"/>
      <w:r w:rsidRPr="001B7061">
        <w:rPr>
          <w:rFonts w:ascii="Bookman Old Style" w:hAnsi="Bookman Old Style" w:cs="Arial"/>
          <w:b/>
          <w:bCs/>
          <w:i/>
          <w:iCs/>
          <w:sz w:val="28"/>
          <w:szCs w:val="28"/>
        </w:rPr>
        <w:t xml:space="preserve">. </w:t>
      </w:r>
      <w:proofErr w:type="spellStart"/>
      <w:r w:rsidR="009267D0">
        <w:rPr>
          <w:rFonts w:ascii="Bookman Old Style" w:hAnsi="Bookman Old Style" w:cs="Arial"/>
          <w:b/>
          <w:bCs/>
          <w:i/>
          <w:iCs/>
          <w:sz w:val="28"/>
          <w:szCs w:val="28"/>
        </w:rPr>
        <w:t>Αρ</w:t>
      </w:r>
      <w:proofErr w:type="spellEnd"/>
      <w:r w:rsidR="009267D0">
        <w:rPr>
          <w:rFonts w:ascii="Bookman Old Style" w:hAnsi="Bookman Old Style" w:cs="Arial"/>
          <w:b/>
          <w:bCs/>
          <w:i/>
          <w:iCs/>
          <w:sz w:val="28"/>
          <w:szCs w:val="28"/>
        </w:rPr>
        <w:t xml:space="preserve">. </w:t>
      </w:r>
      <w:r w:rsidRPr="001B7061">
        <w:rPr>
          <w:rFonts w:ascii="Bookman Old Style" w:hAnsi="Bookman Old Style" w:cs="Arial"/>
          <w:b/>
          <w:bCs/>
          <w:i/>
          <w:iCs/>
          <w:sz w:val="28"/>
          <w:szCs w:val="28"/>
        </w:rPr>
        <w:t xml:space="preserve">357/14, </w:t>
      </w:r>
      <w:proofErr w:type="spellStart"/>
      <w:r w:rsidRPr="001B7061">
        <w:rPr>
          <w:rFonts w:ascii="Bookman Old Style" w:hAnsi="Bookman Old Style" w:cs="Arial"/>
          <w:b/>
          <w:bCs/>
          <w:i/>
          <w:iCs/>
          <w:sz w:val="28"/>
          <w:szCs w:val="28"/>
        </w:rPr>
        <w:t>ημερ</w:t>
      </w:r>
      <w:proofErr w:type="spellEnd"/>
      <w:r w:rsidRPr="001B7061">
        <w:rPr>
          <w:rFonts w:ascii="Bookman Old Style" w:hAnsi="Bookman Old Style" w:cs="Arial"/>
          <w:b/>
          <w:bCs/>
          <w:i/>
          <w:iCs/>
          <w:sz w:val="28"/>
          <w:szCs w:val="28"/>
        </w:rPr>
        <w:t>. 23.3.2023</w:t>
      </w:r>
      <w:r w:rsidRPr="00F76BDB">
        <w:rPr>
          <w:rFonts w:ascii="Bookman Old Style" w:hAnsi="Bookman Old Style" w:cs="Arial"/>
          <w:sz w:val="28"/>
          <w:szCs w:val="28"/>
        </w:rPr>
        <w:t xml:space="preserve">. </w:t>
      </w:r>
    </w:p>
    <w:p w14:paraId="179DB77B" w14:textId="5EE3EBF1" w:rsidR="00F76BDB" w:rsidRPr="00F76BDB" w:rsidRDefault="00F76BDB" w:rsidP="00B54D92">
      <w:pPr>
        <w:tabs>
          <w:tab w:val="left" w:pos="567"/>
        </w:tabs>
        <w:spacing w:before="240" w:line="480" w:lineRule="auto"/>
        <w:rPr>
          <w:rFonts w:ascii="Bookman Old Style" w:hAnsi="Bookman Old Style" w:cs="Arial"/>
          <w:sz w:val="28"/>
          <w:szCs w:val="28"/>
        </w:rPr>
      </w:pPr>
      <w:r w:rsidRPr="005C4250">
        <w:rPr>
          <w:rFonts w:ascii="Bookman Old Style" w:hAnsi="Bookman Old Style" w:cs="Arial"/>
          <w:sz w:val="28"/>
          <w:szCs w:val="28"/>
        </w:rPr>
        <w:tab/>
      </w:r>
      <w:r w:rsidRPr="00F76BDB">
        <w:rPr>
          <w:rFonts w:ascii="Bookman Old Style" w:hAnsi="Bookman Old Style" w:cs="Arial"/>
          <w:sz w:val="28"/>
          <w:szCs w:val="28"/>
        </w:rPr>
        <w:t xml:space="preserve">Η απαίτηση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όπως </w:t>
      </w:r>
      <w:proofErr w:type="spellStart"/>
      <w:r w:rsidRPr="00F76BDB">
        <w:rPr>
          <w:rFonts w:ascii="Bookman Old Style" w:hAnsi="Bookman Old Style" w:cs="Arial"/>
          <w:sz w:val="28"/>
          <w:szCs w:val="28"/>
        </w:rPr>
        <w:t>δικογραφείται</w:t>
      </w:r>
      <w:proofErr w:type="spellEnd"/>
      <w:r w:rsidRPr="00F76BDB">
        <w:rPr>
          <w:rFonts w:ascii="Bookman Old Style" w:hAnsi="Bookman Old Style" w:cs="Arial"/>
          <w:sz w:val="28"/>
          <w:szCs w:val="28"/>
        </w:rPr>
        <w:t xml:space="preserve">, βασίζεται εξ ολοκλήρου στη μείωση της αγοραίας αξίας των υπό κρίση ακινήτων και μάλιστα κατά την έναρξη της ακρόασης οι δύο πλευρές συμφώνησαν και δήλωσαν την αξία των ακινήτων και το ποσοστό επηρεασμού αυτών σε περίπτωση που το Δικαστήριο ήθελε αποφασίσει ότι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δικαιούται σε αποζημίωση. Επομένως, ορθώς το πρωτόδικο Δικαστήριο κατέληξε ότι η απαίτηση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δεν αφορούσε αποζημίωση συνεπεία απαλλοτρίωσης αλλά ότι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w:t>
      </w:r>
      <w:r w:rsidR="009267D0">
        <w:rPr>
          <w:rFonts w:ascii="Bookman Old Style" w:hAnsi="Bookman Old Style" w:cs="Arial"/>
          <w:sz w:val="28"/>
          <w:szCs w:val="28"/>
        </w:rPr>
        <w:t xml:space="preserve">μπορούσε </w:t>
      </w:r>
      <w:r w:rsidRPr="00F76BDB">
        <w:rPr>
          <w:rFonts w:ascii="Bookman Old Style" w:hAnsi="Bookman Old Style" w:cs="Arial"/>
          <w:sz w:val="28"/>
          <w:szCs w:val="28"/>
        </w:rPr>
        <w:t xml:space="preserve">να υποβάλει απαίτηση δυνάμει του άρθρου 67 του Ν.90/72 εντός της προβλεπόμενης προθεσμίας, ανεξαρτήτως του ότι δεν είχε κατά τον ουσιώδη χρόνο εκδοθεί πιστοποιητικό τελικής έγκρισης. Ορθή ήταν και η διαπίστωση του πρωτόδικου Δικαστηρίου ότι οι όροι θεωρούνται αναπόσπαστο μέρος της πολεοδομικής άδειας δυνάμει του άρθρου 25 του Ν.90/72 και ότι κατά τη δημοσίευση της Γνωστοποίησης της Απαλλοτρίωσης, η </w:t>
      </w:r>
      <w:proofErr w:type="spellStart"/>
      <w:r w:rsidRPr="00F76BDB">
        <w:rPr>
          <w:rFonts w:ascii="Bookman Old Style" w:hAnsi="Bookman Old Style" w:cs="Arial"/>
          <w:sz w:val="28"/>
          <w:szCs w:val="28"/>
        </w:rPr>
        <w:t>Εφεσείουσα</w:t>
      </w:r>
      <w:proofErr w:type="spellEnd"/>
      <w:r w:rsidRPr="00F76BDB">
        <w:rPr>
          <w:rFonts w:ascii="Bookman Old Style" w:hAnsi="Bookman Old Style" w:cs="Arial"/>
          <w:sz w:val="28"/>
          <w:szCs w:val="28"/>
        </w:rPr>
        <w:t xml:space="preserve"> ήταν μεν η εγγεγραμμένη ιδιοκτήτρια του ακινήτου, η κυριότητα όμως του οποίου είχε μεταφερθεί στο δημόσιο και απλώς εκκρεμούσε η εγγραφή του στο νόμιμο δικαιούχο, ήτοι τη Δημοκρατία. Αυτό αναφέρθηκε στη </w:t>
      </w:r>
      <w:proofErr w:type="spellStart"/>
      <w:r w:rsidRPr="001B7061">
        <w:rPr>
          <w:rFonts w:ascii="Bookman Old Style" w:hAnsi="Bookman Old Style" w:cs="Arial"/>
          <w:b/>
          <w:bCs/>
          <w:i/>
          <w:iCs/>
          <w:sz w:val="28"/>
          <w:szCs w:val="28"/>
        </w:rPr>
        <w:t>Μακροσέλλης</w:t>
      </w:r>
      <w:proofErr w:type="spellEnd"/>
      <w:r w:rsidRPr="00F76BDB">
        <w:rPr>
          <w:rFonts w:ascii="Bookman Old Style" w:hAnsi="Bookman Old Style" w:cs="Arial"/>
          <w:sz w:val="28"/>
          <w:szCs w:val="28"/>
        </w:rPr>
        <w:t xml:space="preserve"> (ανωτέρω) και υιοθετήθηκε στην </w:t>
      </w:r>
      <w:proofErr w:type="spellStart"/>
      <w:r w:rsidRPr="001B7061">
        <w:rPr>
          <w:rFonts w:ascii="Bookman Old Style" w:hAnsi="Bookman Old Style" w:cs="Arial"/>
          <w:b/>
          <w:bCs/>
          <w:i/>
          <w:iCs/>
          <w:sz w:val="28"/>
          <w:szCs w:val="28"/>
        </w:rPr>
        <w:t>Κουλλουππά</w:t>
      </w:r>
      <w:proofErr w:type="spellEnd"/>
      <w:r w:rsidRPr="001B7061">
        <w:rPr>
          <w:rFonts w:ascii="Bookman Old Style" w:hAnsi="Bookman Old Style" w:cs="Arial"/>
          <w:i/>
          <w:iCs/>
          <w:sz w:val="28"/>
          <w:szCs w:val="28"/>
        </w:rPr>
        <w:t xml:space="preserve"> </w:t>
      </w:r>
      <w:r w:rsidRPr="00F76BDB">
        <w:rPr>
          <w:rFonts w:ascii="Bookman Old Style" w:hAnsi="Bookman Old Style" w:cs="Arial"/>
          <w:sz w:val="28"/>
          <w:szCs w:val="28"/>
        </w:rPr>
        <w:t>(ανωτέρω) στην οποία λέχθηκαν τα ακόλουθα:</w:t>
      </w:r>
    </w:p>
    <w:p w14:paraId="1894BA89" w14:textId="4533D531" w:rsidR="00F76BDB" w:rsidRDefault="00F76BDB" w:rsidP="001B7061">
      <w:pPr>
        <w:spacing w:before="240"/>
        <w:ind w:left="567"/>
        <w:rPr>
          <w:rFonts w:ascii="Bookman Old Style" w:hAnsi="Bookman Old Style" w:cs="Arial"/>
          <w:i/>
          <w:iCs/>
          <w:sz w:val="28"/>
          <w:szCs w:val="28"/>
        </w:rPr>
      </w:pPr>
      <w:r w:rsidRPr="001B7061">
        <w:rPr>
          <w:rFonts w:ascii="Bookman Old Style" w:hAnsi="Bookman Old Style" w:cs="Arial"/>
          <w:sz w:val="28"/>
          <w:szCs w:val="28"/>
        </w:rPr>
        <w:t>«</w:t>
      </w:r>
      <w:r w:rsidRPr="00F76BDB">
        <w:rPr>
          <w:rFonts w:ascii="Bookman Old Style" w:hAnsi="Bookman Old Style" w:cs="Arial"/>
          <w:i/>
          <w:iCs/>
          <w:color w:val="000000"/>
          <w:sz w:val="28"/>
          <w:szCs w:val="28"/>
        </w:rPr>
        <w:t>Εντοπίζεται επίσης στην</w:t>
      </w:r>
      <w:r w:rsidR="009D67C6" w:rsidRPr="009D67C6">
        <w:rPr>
          <w:rFonts w:ascii="Bookman Old Style" w:hAnsi="Bookman Old Style" w:cs="Arial"/>
          <w:i/>
          <w:iCs/>
          <w:color w:val="000000"/>
          <w:sz w:val="28"/>
          <w:szCs w:val="28"/>
        </w:rPr>
        <w:t xml:space="preserve"> </w:t>
      </w:r>
      <w:proofErr w:type="spellStart"/>
      <w:r w:rsidRPr="00F76BDB">
        <w:rPr>
          <w:rFonts w:ascii="Bookman Old Style" w:hAnsi="Bookman Old Style" w:cs="Arial"/>
          <w:b/>
          <w:bCs/>
          <w:i/>
          <w:iCs/>
          <w:color w:val="000000"/>
          <w:sz w:val="28"/>
          <w:szCs w:val="28"/>
        </w:rPr>
        <w:t>Μακροσέλλη</w:t>
      </w:r>
      <w:proofErr w:type="spellEnd"/>
      <w:r w:rsidR="009D67C6" w:rsidRPr="009D67C6">
        <w:rPr>
          <w:rFonts w:ascii="Bookman Old Style" w:hAnsi="Bookman Old Style" w:cs="Arial"/>
          <w:b/>
          <w:bCs/>
          <w:i/>
          <w:iCs/>
          <w:color w:val="000000"/>
          <w:sz w:val="28"/>
          <w:szCs w:val="28"/>
        </w:rPr>
        <w:t xml:space="preserve"> </w:t>
      </w:r>
      <w:r w:rsidRPr="00F76BDB">
        <w:rPr>
          <w:rFonts w:ascii="Bookman Old Style" w:hAnsi="Bookman Old Style" w:cs="Arial"/>
          <w:i/>
          <w:iCs/>
          <w:color w:val="000000"/>
          <w:sz w:val="28"/>
          <w:szCs w:val="28"/>
        </w:rPr>
        <w:t>ότι το γεγονός της μη έκδοσης πιστοποιητικού τελικής έγκρισης μετά την υλοποίηση των αδειών οικοδομής και πολεοδομίας και τη διαμόρφωση του μέρους των τεμαχίων που επηρεάστηκε από τη ρυμοτομία, είναι άνευ σημασίας καθότι η υποχρέωση του ιδιοκτήτη για παραχώρηση του επηρεαζόμενου από τη ρυμοτομία μέρους στο δημόσιο, υλοποιείται αυτόματα από το Νόμο (</w:t>
      </w:r>
      <w:proofErr w:type="spellStart"/>
      <w:r w:rsidRPr="00F76BDB">
        <w:rPr>
          <w:rFonts w:ascii="Bookman Old Style" w:hAnsi="Bookman Old Style" w:cs="Arial"/>
          <w:i/>
          <w:iCs/>
          <w:color w:val="000000"/>
          <w:sz w:val="28"/>
          <w:szCs w:val="28"/>
        </w:rPr>
        <w:t>by</w:t>
      </w:r>
      <w:proofErr w:type="spellEnd"/>
      <w:r w:rsidRPr="00F76BDB">
        <w:rPr>
          <w:rFonts w:ascii="Bookman Old Style" w:hAnsi="Bookman Old Style" w:cs="Arial"/>
          <w:i/>
          <w:iCs/>
          <w:color w:val="000000"/>
          <w:sz w:val="28"/>
          <w:szCs w:val="28"/>
        </w:rPr>
        <w:t xml:space="preserve"> operation of </w:t>
      </w:r>
      <w:proofErr w:type="spellStart"/>
      <w:r w:rsidRPr="00F76BDB">
        <w:rPr>
          <w:rFonts w:ascii="Bookman Old Style" w:hAnsi="Bookman Old Style" w:cs="Arial"/>
          <w:i/>
          <w:iCs/>
          <w:color w:val="000000"/>
          <w:sz w:val="28"/>
          <w:szCs w:val="28"/>
        </w:rPr>
        <w:t>law</w:t>
      </w:r>
      <w:proofErr w:type="spellEnd"/>
      <w:r w:rsidRPr="00F76BDB">
        <w:rPr>
          <w:rFonts w:ascii="Bookman Old Style" w:hAnsi="Bookman Old Style" w:cs="Arial"/>
          <w:i/>
          <w:iCs/>
          <w:color w:val="000000"/>
          <w:sz w:val="28"/>
          <w:szCs w:val="28"/>
        </w:rPr>
        <w:t>). Ως εκ τούτου, η διαφοροποίηση στο σχετικό κτηματολογικό μητρώο προκύπτει να είναι τυπικής και μόνο σημασίας, αφού το μέρος του επηρεαζόμενου από τη ρυμοτομία ακινήτου δεν ανήκει πλέον στον ιδιοκτήτη.</w:t>
      </w:r>
      <w:r w:rsidRPr="001B7061">
        <w:rPr>
          <w:rFonts w:ascii="Bookman Old Style" w:hAnsi="Bookman Old Style" w:cs="Arial"/>
          <w:color w:val="000000"/>
          <w:sz w:val="28"/>
          <w:szCs w:val="28"/>
        </w:rPr>
        <w:t>»</w:t>
      </w:r>
      <w:r w:rsidRPr="001B7061">
        <w:rPr>
          <w:rFonts w:ascii="Bookman Old Style" w:hAnsi="Bookman Old Style" w:cs="Arial"/>
          <w:sz w:val="28"/>
          <w:szCs w:val="28"/>
        </w:rPr>
        <w:t xml:space="preserve"> </w:t>
      </w:r>
    </w:p>
    <w:p w14:paraId="6E14B34A" w14:textId="77777777" w:rsidR="00F76BDB" w:rsidRPr="00F76BDB" w:rsidRDefault="00F76BDB" w:rsidP="00F76BDB">
      <w:pPr>
        <w:ind w:left="567"/>
        <w:rPr>
          <w:rFonts w:ascii="Bookman Old Style" w:hAnsi="Bookman Old Style" w:cs="Arial"/>
          <w:i/>
          <w:iCs/>
          <w:sz w:val="28"/>
          <w:szCs w:val="28"/>
        </w:rPr>
      </w:pPr>
    </w:p>
    <w:p w14:paraId="1CC4CCE0" w14:textId="0ED0DA2B" w:rsidR="00F76BDB" w:rsidRPr="00F76BDB" w:rsidRDefault="00F76BDB" w:rsidP="001B7061">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Αποτελεί λόγο έφεσης ότι λανθασμένα το πρωτόδικο Δικαστήριο έτυχε καθοδήγησης από τη δική του προγενέστερη απόφαση στην Αγωγή υπ’</w:t>
      </w:r>
      <w:r w:rsidR="001B7061">
        <w:rPr>
          <w:rFonts w:ascii="Bookman Old Style" w:hAnsi="Bookman Old Style" w:cs="Arial"/>
          <w:sz w:val="28"/>
          <w:szCs w:val="28"/>
        </w:rPr>
        <w:t xml:space="preserve"> </w:t>
      </w:r>
      <w:proofErr w:type="spellStart"/>
      <w:r w:rsidRPr="00F76BDB">
        <w:rPr>
          <w:rFonts w:ascii="Bookman Old Style" w:hAnsi="Bookman Old Style" w:cs="Arial"/>
          <w:sz w:val="28"/>
          <w:szCs w:val="28"/>
        </w:rPr>
        <w:t>αρ</w:t>
      </w:r>
      <w:proofErr w:type="spellEnd"/>
      <w:r w:rsidRPr="00F76BDB">
        <w:rPr>
          <w:rFonts w:ascii="Bookman Old Style" w:hAnsi="Bookman Old Style" w:cs="Arial"/>
          <w:sz w:val="28"/>
          <w:szCs w:val="28"/>
        </w:rPr>
        <w:t xml:space="preserve">. 551/05 Επαρχιακού Δικαστηρίου Αμμοχώστου, </w:t>
      </w:r>
      <w:proofErr w:type="spellStart"/>
      <w:r w:rsidRPr="00F76BDB">
        <w:rPr>
          <w:rFonts w:ascii="Bookman Old Style" w:hAnsi="Bookman Old Style" w:cs="Arial"/>
          <w:sz w:val="28"/>
          <w:szCs w:val="28"/>
        </w:rPr>
        <w:t>ημερ</w:t>
      </w:r>
      <w:proofErr w:type="spellEnd"/>
      <w:r w:rsidRPr="00F76BDB">
        <w:rPr>
          <w:rFonts w:ascii="Bookman Old Style" w:hAnsi="Bookman Old Style" w:cs="Arial"/>
          <w:sz w:val="28"/>
          <w:szCs w:val="28"/>
        </w:rPr>
        <w:t xml:space="preserve">. 25.6.2008. Σημειώνουμε ότι αφού το πρωτόδικο Δικαστήριο προέβη στην ανάλυση και κατάληξη του, στο τέλος της απόφασης ανέφερε μόνο παρενθετικά την εν λόγω υπόθεση </w:t>
      </w:r>
      <w:r w:rsidR="000B54AB">
        <w:rPr>
          <w:rFonts w:ascii="Bookman Old Style" w:hAnsi="Bookman Old Style" w:cs="Arial"/>
          <w:sz w:val="28"/>
          <w:szCs w:val="28"/>
        </w:rPr>
        <w:t xml:space="preserve">και </w:t>
      </w:r>
      <w:r w:rsidR="000B54AB" w:rsidRPr="00E52849">
        <w:rPr>
          <w:rFonts w:ascii="Bookman Old Style" w:hAnsi="Bookman Old Style" w:cs="Arial"/>
          <w:sz w:val="28"/>
          <w:szCs w:val="28"/>
        </w:rPr>
        <w:t>ότι σε εκείνη</w:t>
      </w:r>
      <w:r w:rsidR="000B54AB">
        <w:rPr>
          <w:rFonts w:ascii="Bookman Old Style" w:hAnsi="Bookman Old Style" w:cs="Arial"/>
          <w:sz w:val="28"/>
          <w:szCs w:val="28"/>
        </w:rPr>
        <w:t xml:space="preserve"> </w:t>
      </w:r>
      <w:r w:rsidRPr="00F76BDB">
        <w:rPr>
          <w:rFonts w:ascii="Bookman Old Style" w:hAnsi="Bookman Old Style" w:cs="Arial"/>
          <w:sz w:val="28"/>
          <w:szCs w:val="28"/>
        </w:rPr>
        <w:t xml:space="preserve">απασχόλησε παρόμοιο θέμα και περιέχεται εκτενής αναφορά σε αυτό και στη σχετική νομολογία, χωρίς να επεκταθεί περαιτέρω. </w:t>
      </w:r>
    </w:p>
    <w:p w14:paraId="44F45C35" w14:textId="18470C81" w:rsidR="00F76BDB" w:rsidRPr="00F76BDB" w:rsidRDefault="00F76BDB" w:rsidP="00F76BDB">
      <w:pPr>
        <w:tabs>
          <w:tab w:val="left" w:pos="567"/>
        </w:tabs>
        <w:spacing w:before="240" w:line="48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 xml:space="preserve">Με την ως άνω διαπίστωση μας ως προς την ορθότητα της πρωτόδικης απόφασης, </w:t>
      </w:r>
      <w:proofErr w:type="spellStart"/>
      <w:r w:rsidRPr="00F76BDB">
        <w:rPr>
          <w:rFonts w:ascii="Bookman Old Style" w:hAnsi="Bookman Old Style" w:cs="Arial"/>
          <w:sz w:val="28"/>
          <w:szCs w:val="28"/>
        </w:rPr>
        <w:t>παρέλκει</w:t>
      </w:r>
      <w:proofErr w:type="spellEnd"/>
      <w:r w:rsidRPr="00F76BDB">
        <w:rPr>
          <w:rFonts w:ascii="Bookman Old Style" w:hAnsi="Bookman Old Style" w:cs="Arial"/>
          <w:sz w:val="28"/>
          <w:szCs w:val="28"/>
        </w:rPr>
        <w:t xml:space="preserve"> η εξέταση του τελευταίου λόγου έφεσης για την επιδίκαση των εξόδων της πρωτόδικης διαδικασίας και των εκτιμητικών εξόδων, εφόσον αυτός προβλήθηκε στη βάση επιτυχίας της έφεσης. </w:t>
      </w:r>
    </w:p>
    <w:p w14:paraId="782F14BB" w14:textId="77777777" w:rsidR="00B54D92" w:rsidRDefault="00F76BDB" w:rsidP="00F76BDB">
      <w:pPr>
        <w:tabs>
          <w:tab w:val="left" w:pos="567"/>
        </w:tabs>
        <w:spacing w:before="240" w:line="360" w:lineRule="auto"/>
        <w:rPr>
          <w:rFonts w:ascii="Bookman Old Style" w:hAnsi="Bookman Old Style" w:cs="Arial"/>
          <w:sz w:val="28"/>
          <w:szCs w:val="28"/>
        </w:rPr>
      </w:pPr>
      <w:r>
        <w:rPr>
          <w:rFonts w:ascii="Bookman Old Style" w:hAnsi="Bookman Old Style" w:cs="Arial"/>
          <w:sz w:val="28"/>
          <w:szCs w:val="28"/>
        </w:rPr>
        <w:tab/>
      </w:r>
      <w:r w:rsidRPr="00F76BDB">
        <w:rPr>
          <w:rFonts w:ascii="Bookman Old Style" w:hAnsi="Bookman Old Style" w:cs="Arial"/>
          <w:sz w:val="28"/>
          <w:szCs w:val="28"/>
        </w:rPr>
        <w:t>Η έφεση απορρίπτεται.</w:t>
      </w:r>
    </w:p>
    <w:p w14:paraId="6D8224E2" w14:textId="257AEEFD" w:rsidR="00F76BDB" w:rsidRPr="00F76BDB" w:rsidRDefault="00F76BDB" w:rsidP="00B54D92">
      <w:pPr>
        <w:tabs>
          <w:tab w:val="left" w:pos="567"/>
        </w:tabs>
        <w:spacing w:line="120" w:lineRule="auto"/>
        <w:rPr>
          <w:rFonts w:ascii="Bookman Old Style" w:hAnsi="Bookman Old Style" w:cs="Arial"/>
          <w:sz w:val="28"/>
          <w:szCs w:val="28"/>
        </w:rPr>
      </w:pPr>
      <w:r w:rsidRPr="00F76BDB">
        <w:rPr>
          <w:rFonts w:ascii="Bookman Old Style" w:hAnsi="Bookman Old Style" w:cs="Arial"/>
          <w:sz w:val="28"/>
          <w:szCs w:val="28"/>
        </w:rPr>
        <w:t xml:space="preserve"> </w:t>
      </w:r>
    </w:p>
    <w:p w14:paraId="34CDE4D1" w14:textId="6430BB8C" w:rsidR="00F76BDB" w:rsidRPr="00F76BDB" w:rsidRDefault="00F76BDB" w:rsidP="00F76BDB">
      <w:pPr>
        <w:tabs>
          <w:tab w:val="left" w:pos="567"/>
        </w:tabs>
        <w:spacing w:before="240" w:line="480" w:lineRule="auto"/>
        <w:rPr>
          <w:rFonts w:ascii="Bookman Old Style" w:hAnsi="Bookman Old Style" w:cs="Arial"/>
          <w:sz w:val="28"/>
          <w:szCs w:val="28"/>
        </w:rPr>
      </w:pPr>
      <w:r w:rsidRPr="005C4250">
        <w:rPr>
          <w:rFonts w:ascii="Bookman Old Style" w:hAnsi="Bookman Old Style" w:cs="Arial"/>
          <w:sz w:val="28"/>
          <w:szCs w:val="28"/>
        </w:rPr>
        <w:tab/>
      </w:r>
      <w:r w:rsidRPr="00F76BDB">
        <w:rPr>
          <w:rFonts w:ascii="Bookman Old Style" w:hAnsi="Bookman Old Style" w:cs="Arial"/>
          <w:sz w:val="28"/>
          <w:szCs w:val="28"/>
        </w:rPr>
        <w:t xml:space="preserve">Επιδικάζονται έξοδα υπέρ της Εφεσίβλητης και εναντίον της </w:t>
      </w:r>
      <w:proofErr w:type="spellStart"/>
      <w:r w:rsidRPr="00F76BDB">
        <w:rPr>
          <w:rFonts w:ascii="Bookman Old Style" w:hAnsi="Bookman Old Style" w:cs="Arial"/>
          <w:sz w:val="28"/>
          <w:szCs w:val="28"/>
        </w:rPr>
        <w:t>Εφεσείουσας</w:t>
      </w:r>
      <w:proofErr w:type="spellEnd"/>
      <w:r w:rsidRPr="00F76BDB">
        <w:rPr>
          <w:rFonts w:ascii="Bookman Old Style" w:hAnsi="Bookman Old Style" w:cs="Arial"/>
          <w:sz w:val="28"/>
          <w:szCs w:val="28"/>
        </w:rPr>
        <w:t xml:space="preserve"> ύψους €3.</w:t>
      </w:r>
      <w:r w:rsidR="009267D0">
        <w:rPr>
          <w:rFonts w:ascii="Bookman Old Style" w:hAnsi="Bookman Old Style" w:cs="Arial"/>
          <w:sz w:val="28"/>
          <w:szCs w:val="28"/>
        </w:rPr>
        <w:t>5</w:t>
      </w:r>
      <w:r w:rsidRPr="00F76BDB">
        <w:rPr>
          <w:rFonts w:ascii="Bookman Old Style" w:hAnsi="Bookman Old Style" w:cs="Arial"/>
          <w:sz w:val="28"/>
          <w:szCs w:val="28"/>
        </w:rPr>
        <w:t xml:space="preserve">00. </w:t>
      </w:r>
    </w:p>
    <w:p w14:paraId="59D0035C" w14:textId="77777777" w:rsidR="00F76BDB" w:rsidRPr="00F76BDB" w:rsidRDefault="00F76BDB" w:rsidP="00F76BDB">
      <w:pPr>
        <w:spacing w:line="360" w:lineRule="auto"/>
        <w:rPr>
          <w:rFonts w:ascii="Bookman Old Style" w:hAnsi="Bookman Old Style" w:cs="Arial"/>
          <w:sz w:val="28"/>
          <w:szCs w:val="28"/>
        </w:rPr>
      </w:pPr>
    </w:p>
    <w:p w14:paraId="35E402FE" w14:textId="1C1DCDAB" w:rsidR="005F181E" w:rsidRDefault="005F181E" w:rsidP="008F1855">
      <w:pPr>
        <w:rPr>
          <w:rFonts w:ascii="Bookman Old Style" w:hAnsi="Bookman Old Style"/>
          <w:sz w:val="28"/>
          <w:szCs w:val="28"/>
        </w:rPr>
      </w:pPr>
    </w:p>
    <w:p w14:paraId="29D2C883" w14:textId="77777777" w:rsidR="001B7061" w:rsidRDefault="001B7061" w:rsidP="008F1855">
      <w:pPr>
        <w:rPr>
          <w:rFonts w:ascii="Bookman Old Style" w:hAnsi="Bookman Old Style"/>
          <w:sz w:val="28"/>
          <w:szCs w:val="28"/>
        </w:rPr>
      </w:pPr>
    </w:p>
    <w:p w14:paraId="2192F256" w14:textId="77777777" w:rsidR="001B7061" w:rsidRDefault="001B7061" w:rsidP="008F1855">
      <w:pPr>
        <w:rPr>
          <w:rFonts w:ascii="Bookman Old Style" w:hAnsi="Bookman Old Style"/>
          <w:sz w:val="28"/>
          <w:szCs w:val="28"/>
        </w:rPr>
      </w:pPr>
    </w:p>
    <w:p w14:paraId="2AE0D50E" w14:textId="77777777" w:rsidR="001B7061" w:rsidRDefault="001B7061" w:rsidP="008F1855">
      <w:pPr>
        <w:rPr>
          <w:rFonts w:ascii="Bookman Old Style" w:hAnsi="Bookman Old Style"/>
          <w:sz w:val="28"/>
          <w:szCs w:val="28"/>
        </w:rPr>
      </w:pPr>
    </w:p>
    <w:p w14:paraId="37D1799C" w14:textId="77AE413C" w:rsidR="001B7061" w:rsidRDefault="001B7061" w:rsidP="008F1855">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Χ. ΜΑΛΑΧΤΟΣ, Δ.</w:t>
      </w:r>
    </w:p>
    <w:p w14:paraId="53EAD0F8" w14:textId="77777777" w:rsidR="001B7061" w:rsidRDefault="001B7061" w:rsidP="001B7061">
      <w:pPr>
        <w:spacing w:line="276" w:lineRule="auto"/>
        <w:rPr>
          <w:rFonts w:ascii="Bookman Old Style" w:hAnsi="Bookman Old Style"/>
          <w:sz w:val="28"/>
          <w:szCs w:val="28"/>
        </w:rPr>
      </w:pPr>
    </w:p>
    <w:p w14:paraId="581CC519" w14:textId="62C236CF" w:rsidR="001B7061" w:rsidRDefault="001B7061" w:rsidP="001B7061">
      <w:pPr>
        <w:spacing w:line="276" w:lineRule="auto"/>
        <w:rPr>
          <w:rFonts w:ascii="Bookman Old Style" w:hAnsi="Bookman Old Style"/>
          <w:sz w:val="28"/>
          <w:szCs w:val="28"/>
        </w:rPr>
      </w:pPr>
      <w:r>
        <w:rPr>
          <w:rFonts w:ascii="Bookman Old Style" w:hAnsi="Bookman Old Style"/>
          <w:sz w:val="28"/>
          <w:szCs w:val="28"/>
        </w:rPr>
        <w:tab/>
      </w:r>
    </w:p>
    <w:p w14:paraId="339DD85E" w14:textId="406584CB" w:rsidR="001B7061" w:rsidRDefault="001B7061" w:rsidP="001B7061">
      <w:pPr>
        <w:spacing w:line="276"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Ι. ΙΩΑΝΝΙΔΗΣ, Δ.</w:t>
      </w:r>
    </w:p>
    <w:p w14:paraId="619E7F8E" w14:textId="77777777" w:rsidR="001B7061" w:rsidRDefault="001B7061" w:rsidP="001B7061">
      <w:pPr>
        <w:spacing w:line="276" w:lineRule="auto"/>
        <w:rPr>
          <w:rFonts w:ascii="Bookman Old Style" w:hAnsi="Bookman Old Style"/>
          <w:sz w:val="28"/>
          <w:szCs w:val="28"/>
        </w:rPr>
      </w:pPr>
    </w:p>
    <w:p w14:paraId="72F3EBE0" w14:textId="12ACF873" w:rsidR="001B7061" w:rsidRDefault="001B7061" w:rsidP="001B7061">
      <w:pPr>
        <w:spacing w:line="276" w:lineRule="auto"/>
        <w:rPr>
          <w:rFonts w:ascii="Bookman Old Style" w:hAnsi="Bookman Old Style"/>
          <w:sz w:val="28"/>
          <w:szCs w:val="28"/>
        </w:rPr>
      </w:pPr>
      <w:r>
        <w:rPr>
          <w:rFonts w:ascii="Bookman Old Style" w:hAnsi="Bookman Old Style"/>
          <w:sz w:val="28"/>
          <w:szCs w:val="28"/>
        </w:rPr>
        <w:tab/>
      </w:r>
    </w:p>
    <w:p w14:paraId="4A882399" w14:textId="475BC56E" w:rsidR="001B7061" w:rsidRDefault="001B7061" w:rsidP="001B7061">
      <w:pPr>
        <w:spacing w:line="276"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Ε. ΕΦΡΑΙΜ, Δ.</w:t>
      </w:r>
    </w:p>
    <w:p w14:paraId="1199DC07" w14:textId="77777777" w:rsidR="001B7061" w:rsidRDefault="001B7061" w:rsidP="001B7061">
      <w:pPr>
        <w:spacing w:line="276" w:lineRule="auto"/>
        <w:rPr>
          <w:rFonts w:ascii="Bookman Old Style" w:hAnsi="Bookman Old Style"/>
          <w:sz w:val="28"/>
          <w:szCs w:val="28"/>
        </w:rPr>
      </w:pPr>
    </w:p>
    <w:p w14:paraId="07FC7F86" w14:textId="77777777" w:rsidR="001B7061" w:rsidRDefault="001B7061" w:rsidP="001B7061">
      <w:pPr>
        <w:spacing w:line="276" w:lineRule="auto"/>
        <w:rPr>
          <w:rFonts w:ascii="Bookman Old Style" w:hAnsi="Bookman Old Style"/>
          <w:sz w:val="28"/>
          <w:szCs w:val="28"/>
        </w:rPr>
      </w:pPr>
    </w:p>
    <w:p w14:paraId="45E75599" w14:textId="77777777" w:rsidR="001B7061" w:rsidRDefault="001B7061" w:rsidP="008F1855">
      <w:pPr>
        <w:rPr>
          <w:rFonts w:ascii="Bookman Old Style" w:hAnsi="Bookman Old Style"/>
          <w:sz w:val="28"/>
          <w:szCs w:val="28"/>
        </w:rPr>
      </w:pPr>
    </w:p>
    <w:p w14:paraId="5C6B1B87" w14:textId="77777777" w:rsidR="001B7061" w:rsidRDefault="001B7061" w:rsidP="008F1855">
      <w:pPr>
        <w:rPr>
          <w:rFonts w:ascii="Bookman Old Style" w:hAnsi="Bookman Old Style"/>
          <w:sz w:val="28"/>
          <w:szCs w:val="28"/>
        </w:rPr>
      </w:pPr>
    </w:p>
    <w:p w14:paraId="4741367D" w14:textId="77777777" w:rsidR="00A74DE1" w:rsidRDefault="00A74DE1" w:rsidP="008F1855">
      <w:pPr>
        <w:rPr>
          <w:rFonts w:ascii="Bookman Old Style" w:hAnsi="Bookman Old Style"/>
          <w:sz w:val="28"/>
          <w:szCs w:val="28"/>
        </w:rPr>
      </w:pPr>
    </w:p>
    <w:p w14:paraId="09A1AEB0" w14:textId="77777777" w:rsidR="00A74DE1" w:rsidRDefault="00A74DE1" w:rsidP="008F1855">
      <w:pPr>
        <w:rPr>
          <w:rFonts w:ascii="Bookman Old Style" w:hAnsi="Bookman Old Style"/>
          <w:sz w:val="28"/>
          <w:szCs w:val="28"/>
        </w:rPr>
      </w:pPr>
    </w:p>
    <w:p w14:paraId="06B8BFF7" w14:textId="77777777" w:rsidR="00A74DE1" w:rsidRDefault="00A74DE1" w:rsidP="008F1855">
      <w:pPr>
        <w:rPr>
          <w:rFonts w:ascii="Bookman Old Style" w:hAnsi="Bookman Old Style"/>
          <w:sz w:val="28"/>
          <w:szCs w:val="28"/>
        </w:rPr>
      </w:pPr>
    </w:p>
    <w:p w14:paraId="0A9B9237" w14:textId="77777777" w:rsidR="00A74DE1" w:rsidRDefault="00A74DE1" w:rsidP="008F1855">
      <w:pPr>
        <w:rPr>
          <w:rFonts w:ascii="Bookman Old Style" w:hAnsi="Bookman Old Style"/>
          <w:sz w:val="28"/>
          <w:szCs w:val="28"/>
        </w:rPr>
      </w:pPr>
    </w:p>
    <w:p w14:paraId="28E89AC4" w14:textId="77777777" w:rsidR="00A74DE1" w:rsidRDefault="00A74DE1" w:rsidP="008F1855">
      <w:pPr>
        <w:rPr>
          <w:rFonts w:ascii="Bookman Old Style" w:hAnsi="Bookman Old Style"/>
          <w:sz w:val="28"/>
          <w:szCs w:val="28"/>
        </w:rPr>
      </w:pPr>
    </w:p>
    <w:p w14:paraId="79DDF14E" w14:textId="77777777" w:rsidR="00A74DE1" w:rsidRDefault="00A74DE1" w:rsidP="008F1855">
      <w:pPr>
        <w:rPr>
          <w:rFonts w:ascii="Bookman Old Style" w:hAnsi="Bookman Old Style"/>
          <w:sz w:val="28"/>
          <w:szCs w:val="28"/>
        </w:rPr>
      </w:pPr>
    </w:p>
    <w:p w14:paraId="7715211E" w14:textId="77777777" w:rsidR="00A74DE1" w:rsidRDefault="00A74DE1" w:rsidP="008F1855">
      <w:pPr>
        <w:rPr>
          <w:rFonts w:ascii="Bookman Old Style" w:hAnsi="Bookman Old Style"/>
          <w:sz w:val="28"/>
          <w:szCs w:val="28"/>
        </w:rPr>
      </w:pPr>
    </w:p>
    <w:p w14:paraId="3FA47581" w14:textId="77777777" w:rsidR="00A74DE1" w:rsidRDefault="00A74DE1" w:rsidP="008F1855">
      <w:pPr>
        <w:rPr>
          <w:rFonts w:ascii="Bookman Old Style" w:hAnsi="Bookman Old Style"/>
          <w:sz w:val="28"/>
          <w:szCs w:val="28"/>
        </w:rPr>
      </w:pPr>
    </w:p>
    <w:p w14:paraId="674AAAC3" w14:textId="77777777" w:rsidR="00A74DE1" w:rsidRDefault="00A74DE1" w:rsidP="008F1855">
      <w:pPr>
        <w:rPr>
          <w:rFonts w:ascii="Bookman Old Style" w:hAnsi="Bookman Old Style"/>
          <w:sz w:val="28"/>
          <w:szCs w:val="28"/>
        </w:rPr>
      </w:pPr>
    </w:p>
    <w:p w14:paraId="49760F47" w14:textId="77777777" w:rsidR="00A74DE1" w:rsidRDefault="00A74DE1" w:rsidP="008F1855">
      <w:pPr>
        <w:rPr>
          <w:rFonts w:ascii="Bookman Old Style" w:hAnsi="Bookman Old Style"/>
          <w:sz w:val="28"/>
          <w:szCs w:val="28"/>
        </w:rPr>
      </w:pPr>
    </w:p>
    <w:p w14:paraId="75625B25" w14:textId="77777777" w:rsidR="00A74DE1" w:rsidRDefault="00A74DE1" w:rsidP="008F1855">
      <w:pPr>
        <w:rPr>
          <w:rFonts w:ascii="Bookman Old Style" w:hAnsi="Bookman Old Style"/>
          <w:sz w:val="28"/>
          <w:szCs w:val="28"/>
        </w:rPr>
      </w:pPr>
    </w:p>
    <w:p w14:paraId="5ACD61A4" w14:textId="77777777" w:rsidR="00A74DE1" w:rsidRDefault="00A74DE1" w:rsidP="008F1855">
      <w:pPr>
        <w:rPr>
          <w:rFonts w:ascii="Bookman Old Style" w:hAnsi="Bookman Old Style"/>
          <w:sz w:val="28"/>
          <w:szCs w:val="28"/>
        </w:rPr>
      </w:pPr>
    </w:p>
    <w:p w14:paraId="50F27A58" w14:textId="77777777" w:rsidR="00A74DE1" w:rsidRDefault="00A74DE1" w:rsidP="008F1855">
      <w:pPr>
        <w:rPr>
          <w:rFonts w:ascii="Bookman Old Style" w:hAnsi="Bookman Old Style"/>
          <w:sz w:val="28"/>
          <w:szCs w:val="28"/>
        </w:rPr>
      </w:pPr>
    </w:p>
    <w:p w14:paraId="6A597B22" w14:textId="77777777" w:rsidR="00A74DE1" w:rsidRDefault="00A74DE1" w:rsidP="008F1855">
      <w:pPr>
        <w:rPr>
          <w:rFonts w:ascii="Bookman Old Style" w:hAnsi="Bookman Old Style"/>
          <w:sz w:val="28"/>
          <w:szCs w:val="28"/>
        </w:rPr>
      </w:pPr>
    </w:p>
    <w:p w14:paraId="75BFCAEF" w14:textId="77777777" w:rsidR="00A74DE1" w:rsidRDefault="00A74DE1" w:rsidP="008F1855">
      <w:pPr>
        <w:rPr>
          <w:rFonts w:ascii="Bookman Old Style" w:hAnsi="Bookman Old Style"/>
          <w:sz w:val="28"/>
          <w:szCs w:val="28"/>
        </w:rPr>
      </w:pPr>
    </w:p>
    <w:p w14:paraId="7B67F238" w14:textId="5DB6A93C" w:rsidR="00A74DE1" w:rsidRPr="00F76BDB" w:rsidRDefault="00A74DE1" w:rsidP="008F1855">
      <w:pPr>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κβπ</w:t>
      </w:r>
      <w:proofErr w:type="spellEnd"/>
    </w:p>
    <w:sectPr w:rsidR="00A74DE1" w:rsidRPr="00F76BDB" w:rsidSect="001B7061">
      <w:headerReference w:type="default" r:id="rId7"/>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3082" w14:textId="77777777" w:rsidR="002E53B2" w:rsidRDefault="002E53B2" w:rsidP="001B7061">
      <w:r>
        <w:separator/>
      </w:r>
    </w:p>
  </w:endnote>
  <w:endnote w:type="continuationSeparator" w:id="0">
    <w:p w14:paraId="03C5893C" w14:textId="77777777" w:rsidR="002E53B2" w:rsidRDefault="002E53B2" w:rsidP="001B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54AE" w14:textId="77777777" w:rsidR="002E53B2" w:rsidRDefault="002E53B2" w:rsidP="001B7061">
      <w:r>
        <w:separator/>
      </w:r>
    </w:p>
  </w:footnote>
  <w:footnote w:type="continuationSeparator" w:id="0">
    <w:p w14:paraId="6CD62C9B" w14:textId="77777777" w:rsidR="002E53B2" w:rsidRDefault="002E53B2" w:rsidP="001B7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06726"/>
      <w:docPartObj>
        <w:docPartGallery w:val="Page Numbers (Top of Page)"/>
        <w:docPartUnique/>
      </w:docPartObj>
    </w:sdtPr>
    <w:sdtEndPr>
      <w:rPr>
        <w:noProof/>
      </w:rPr>
    </w:sdtEndPr>
    <w:sdtContent>
      <w:p w14:paraId="63A96559" w14:textId="324793F7" w:rsidR="001B7061" w:rsidRDefault="001B7061">
        <w:pPr>
          <w:pStyle w:val="Header"/>
          <w:jc w:val="center"/>
        </w:pPr>
        <w:r>
          <w:fldChar w:fldCharType="begin"/>
        </w:r>
        <w:r>
          <w:instrText xml:space="preserve"> PAGE   \* MERGEFORMAT </w:instrText>
        </w:r>
        <w:r>
          <w:fldChar w:fldCharType="separate"/>
        </w:r>
        <w:r w:rsidR="009B5492">
          <w:rPr>
            <w:noProof/>
          </w:rPr>
          <w:t>13</w:t>
        </w:r>
        <w:r>
          <w:rPr>
            <w:noProof/>
          </w:rPr>
          <w:fldChar w:fldCharType="end"/>
        </w:r>
      </w:p>
    </w:sdtContent>
  </w:sdt>
  <w:p w14:paraId="01DC2914" w14:textId="77777777" w:rsidR="001B7061" w:rsidRDefault="001B7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07F3"/>
    <w:multiLevelType w:val="hybridMultilevel"/>
    <w:tmpl w:val="819EEE18"/>
    <w:lvl w:ilvl="0" w:tplc="6576EF58">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 w15:restartNumberingAfterBreak="0">
    <w:nsid w:val="4FEA1C7C"/>
    <w:multiLevelType w:val="hybridMultilevel"/>
    <w:tmpl w:val="A7AE2CE0"/>
    <w:lvl w:ilvl="0" w:tplc="83C83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E4CCE"/>
    <w:multiLevelType w:val="hybridMultilevel"/>
    <w:tmpl w:val="BC96490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5"/>
    <w:rsid w:val="000B54AB"/>
    <w:rsid w:val="00110C87"/>
    <w:rsid w:val="00121054"/>
    <w:rsid w:val="00185325"/>
    <w:rsid w:val="001B7061"/>
    <w:rsid w:val="00234C35"/>
    <w:rsid w:val="002400B6"/>
    <w:rsid w:val="002E53B2"/>
    <w:rsid w:val="00332261"/>
    <w:rsid w:val="003A0AC2"/>
    <w:rsid w:val="00403D15"/>
    <w:rsid w:val="00416E54"/>
    <w:rsid w:val="00426F2C"/>
    <w:rsid w:val="004A4D4A"/>
    <w:rsid w:val="005C4250"/>
    <w:rsid w:val="005F181E"/>
    <w:rsid w:val="00672405"/>
    <w:rsid w:val="00675D44"/>
    <w:rsid w:val="006D41CE"/>
    <w:rsid w:val="0072630E"/>
    <w:rsid w:val="0077499B"/>
    <w:rsid w:val="008F1855"/>
    <w:rsid w:val="00902517"/>
    <w:rsid w:val="009267D0"/>
    <w:rsid w:val="009B5492"/>
    <w:rsid w:val="009D2279"/>
    <w:rsid w:val="009D67C6"/>
    <w:rsid w:val="00A553D9"/>
    <w:rsid w:val="00A74DE1"/>
    <w:rsid w:val="00B54D92"/>
    <w:rsid w:val="00B86013"/>
    <w:rsid w:val="00BE53D7"/>
    <w:rsid w:val="00C94309"/>
    <w:rsid w:val="00CB05FD"/>
    <w:rsid w:val="00E17817"/>
    <w:rsid w:val="00E31409"/>
    <w:rsid w:val="00E52849"/>
    <w:rsid w:val="00F16BC4"/>
    <w:rsid w:val="00F56834"/>
    <w:rsid w:val="00F76BDB"/>
    <w:rsid w:val="00F8572D"/>
    <w:rsid w:val="00F92CB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E171"/>
  <w15:chartTrackingRefBased/>
  <w15:docId w15:val="{6F6B39E0-2194-4F77-B43D-A781C1E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55"/>
    <w:pPr>
      <w:ind w:right="28"/>
    </w:pPr>
    <w:rPr>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55"/>
    <w:pPr>
      <w:ind w:left="720"/>
      <w:contextualSpacing/>
    </w:pPr>
  </w:style>
  <w:style w:type="paragraph" w:styleId="Header">
    <w:name w:val="header"/>
    <w:basedOn w:val="Normal"/>
    <w:link w:val="HeaderChar"/>
    <w:uiPriority w:val="99"/>
    <w:unhideWhenUsed/>
    <w:rsid w:val="001B7061"/>
    <w:pPr>
      <w:tabs>
        <w:tab w:val="center" w:pos="4513"/>
        <w:tab w:val="right" w:pos="9026"/>
      </w:tabs>
    </w:pPr>
  </w:style>
  <w:style w:type="character" w:customStyle="1" w:styleId="HeaderChar">
    <w:name w:val="Header Char"/>
    <w:basedOn w:val="DefaultParagraphFont"/>
    <w:link w:val="Header"/>
    <w:uiPriority w:val="99"/>
    <w:rsid w:val="001B7061"/>
    <w:rPr>
      <w:kern w:val="0"/>
      <w:lang w:val="el-GR" w:bidi="ar-SA"/>
      <w14:ligatures w14:val="none"/>
    </w:rPr>
  </w:style>
  <w:style w:type="paragraph" w:styleId="Footer">
    <w:name w:val="footer"/>
    <w:basedOn w:val="Normal"/>
    <w:link w:val="FooterChar"/>
    <w:uiPriority w:val="99"/>
    <w:unhideWhenUsed/>
    <w:rsid w:val="001B7061"/>
    <w:pPr>
      <w:tabs>
        <w:tab w:val="center" w:pos="4513"/>
        <w:tab w:val="right" w:pos="9026"/>
      </w:tabs>
    </w:pPr>
  </w:style>
  <w:style w:type="character" w:customStyle="1" w:styleId="FooterChar">
    <w:name w:val="Footer Char"/>
    <w:basedOn w:val="DefaultParagraphFont"/>
    <w:link w:val="Footer"/>
    <w:uiPriority w:val="99"/>
    <w:rsid w:val="001B7061"/>
    <w:rPr>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2294</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2023-07-20T08:48:00Z</cp:lastPrinted>
  <dcterms:created xsi:type="dcterms:W3CDTF">2023-07-27T11:24:00Z</dcterms:created>
  <dcterms:modified xsi:type="dcterms:W3CDTF">2023-07-27T11:24:00Z</dcterms:modified>
</cp:coreProperties>
</file>